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93D63" w14:textId="3316D755" w:rsidR="00452765" w:rsidRPr="008005F4" w:rsidRDefault="00452765" w:rsidP="00452765">
      <w:pPr>
        <w:spacing w:line="360" w:lineRule="auto"/>
        <w:jc w:val="both"/>
        <w:rPr>
          <w:rFonts w:ascii="Times New Roman" w:hAnsi="Times New Roman" w:cs="Times New Roman"/>
          <w:lang w:val="en-US"/>
        </w:rPr>
      </w:pPr>
      <w:r w:rsidRPr="008005F4">
        <w:rPr>
          <w:rFonts w:ascii="Times New Roman" w:hAnsi="Times New Roman" w:cs="Times New Roman"/>
          <w:lang w:val="en-US"/>
        </w:rPr>
        <w:t>Table</w:t>
      </w:r>
      <w:r w:rsidR="000D2BD5">
        <w:rPr>
          <w:rFonts w:ascii="Times New Roman" w:hAnsi="Times New Roman" w:cs="Times New Roman"/>
          <w:lang w:val="en-US"/>
        </w:rPr>
        <w:t xml:space="preserve"> </w:t>
      </w:r>
      <w:r w:rsidRPr="008005F4">
        <w:rPr>
          <w:rFonts w:ascii="Times New Roman" w:hAnsi="Times New Roman" w:cs="Times New Roman"/>
          <w:lang w:val="en-US"/>
        </w:rPr>
        <w:t xml:space="preserve"> </w:t>
      </w:r>
      <w:r w:rsidR="000D2BD5">
        <w:rPr>
          <w:rFonts w:ascii="Times New Roman" w:hAnsi="Times New Roman" w:cs="Times New Roman"/>
          <w:lang w:val="en-US"/>
        </w:rPr>
        <w:t>S</w:t>
      </w:r>
      <w:r w:rsidR="00CF10D1">
        <w:rPr>
          <w:rFonts w:ascii="Times New Roman" w:hAnsi="Times New Roman" w:cs="Times New Roman"/>
          <w:lang w:val="en-US"/>
        </w:rPr>
        <w:t>2</w:t>
      </w:r>
      <w:r w:rsidR="00691478">
        <w:rPr>
          <w:rFonts w:ascii="Times New Roman" w:hAnsi="Times New Roman" w:cs="Times New Roman"/>
          <w:lang w:val="en-US"/>
        </w:rPr>
        <w:t>:</w:t>
      </w:r>
      <w:r w:rsidRPr="008005F4">
        <w:rPr>
          <w:rFonts w:ascii="Times New Roman" w:hAnsi="Times New Roman" w:cs="Times New Roman"/>
          <w:lang w:val="en-US"/>
        </w:rPr>
        <w:t xml:space="preserve"> </w:t>
      </w:r>
      <w:r>
        <w:rPr>
          <w:rFonts w:ascii="Times New Roman" w:hAnsi="Times New Roman" w:cs="Times New Roman"/>
          <w:lang w:val="en-US"/>
        </w:rPr>
        <w:t>Agreed</w:t>
      </w:r>
      <w:r w:rsidRPr="001A2D18">
        <w:rPr>
          <w:rFonts w:ascii="Times New Roman" w:hAnsi="Times New Roman" w:cs="Times New Roman"/>
          <w:lang w:val="en-US"/>
        </w:rPr>
        <w:t xml:space="preserve"> quality indicators </w:t>
      </w:r>
      <w:r>
        <w:rPr>
          <w:rFonts w:ascii="Times New Roman" w:hAnsi="Times New Roman" w:cs="Times New Roman"/>
          <w:lang w:val="en-US"/>
        </w:rPr>
        <w:t xml:space="preserve">compliance </w:t>
      </w:r>
      <w:r w:rsidRPr="001A2D18">
        <w:rPr>
          <w:rFonts w:ascii="Times New Roman" w:hAnsi="Times New Roman" w:cs="Times New Roman"/>
          <w:lang w:val="en-US"/>
        </w:rPr>
        <w:t xml:space="preserve">and </w:t>
      </w:r>
      <w:r w:rsidRPr="008005F4">
        <w:rPr>
          <w:rFonts w:ascii="Times New Roman" w:hAnsi="Times New Roman" w:cs="Times New Roman"/>
          <w:lang w:val="en-US"/>
        </w:rPr>
        <w:t>their main characteristics</w:t>
      </w:r>
      <w:r>
        <w:rPr>
          <w:rFonts w:ascii="Times New Roman" w:hAnsi="Times New Roman" w:cs="Times New Roman"/>
          <w:lang w:val="en-US"/>
        </w:rPr>
        <w:t>.</w:t>
      </w:r>
    </w:p>
    <w:tbl>
      <w:tblPr>
        <w:tblW w:w="0" w:type="auto"/>
        <w:tblInd w:w="-1270" w:type="dxa"/>
        <w:tblLayout w:type="fixed"/>
        <w:tblCellMar>
          <w:left w:w="70" w:type="dxa"/>
          <w:right w:w="70" w:type="dxa"/>
        </w:tblCellMar>
        <w:tblLook w:val="04A0" w:firstRow="1" w:lastRow="0" w:firstColumn="1" w:lastColumn="0" w:noHBand="0" w:noVBand="1"/>
      </w:tblPr>
      <w:tblGrid>
        <w:gridCol w:w="834"/>
        <w:gridCol w:w="568"/>
        <w:gridCol w:w="1701"/>
        <w:gridCol w:w="8143"/>
        <w:gridCol w:w="2672"/>
        <w:gridCol w:w="1290"/>
      </w:tblGrid>
      <w:tr w:rsidR="00452765" w:rsidRPr="008005F4" w14:paraId="6A30F34F" w14:textId="77777777" w:rsidTr="00306E3F">
        <w:trPr>
          <w:trHeight w:val="315"/>
        </w:trPr>
        <w:tc>
          <w:tcPr>
            <w:tcW w:w="8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894C8C6" w14:textId="77777777" w:rsidR="00452765" w:rsidRPr="008005F4" w:rsidRDefault="00452765" w:rsidP="00627EE3">
            <w:pPr>
              <w:spacing w:after="0" w:line="360" w:lineRule="auto"/>
              <w:jc w:val="center"/>
              <w:rPr>
                <w:rFonts w:ascii="Times New Roman" w:eastAsia="Times New Roman" w:hAnsi="Times New Roman" w:cs="Times New Roman"/>
                <w:b/>
                <w:bCs/>
                <w:lang w:val="en-US" w:eastAsia="es-ES"/>
              </w:rPr>
            </w:pPr>
            <w:bookmarkStart w:id="0" w:name="_Hlk53478920"/>
            <w:r w:rsidRPr="008005F4">
              <w:rPr>
                <w:rFonts w:ascii="Times New Roman" w:eastAsia="Times New Roman" w:hAnsi="Times New Roman" w:cs="Times New Roman"/>
                <w:b/>
                <w:bCs/>
                <w:lang w:val="en-US" w:eastAsia="es-ES"/>
              </w:rPr>
              <w:t>Area</w:t>
            </w:r>
          </w:p>
        </w:tc>
        <w:tc>
          <w:tcPr>
            <w:tcW w:w="568" w:type="dxa"/>
            <w:tcBorders>
              <w:top w:val="single" w:sz="8" w:space="0" w:color="auto"/>
              <w:left w:val="nil"/>
              <w:bottom w:val="single" w:sz="8" w:space="0" w:color="auto"/>
              <w:right w:val="single" w:sz="4" w:space="0" w:color="auto"/>
            </w:tcBorders>
            <w:shd w:val="clear" w:color="auto" w:fill="auto"/>
            <w:noWrap/>
            <w:vAlign w:val="center"/>
            <w:hideMark/>
          </w:tcPr>
          <w:p w14:paraId="1EE70430" w14:textId="77777777" w:rsidR="00452765" w:rsidRPr="008005F4" w:rsidRDefault="00452765" w:rsidP="00627EE3">
            <w:pPr>
              <w:spacing w:after="0" w:line="360" w:lineRule="auto"/>
              <w:jc w:val="center"/>
              <w:rPr>
                <w:rFonts w:ascii="Times New Roman" w:eastAsia="Times New Roman" w:hAnsi="Times New Roman" w:cs="Times New Roman"/>
                <w:b/>
                <w:bCs/>
                <w:lang w:val="en-US" w:eastAsia="es-ES"/>
              </w:rPr>
            </w:pPr>
            <w:r w:rsidRPr="008005F4">
              <w:rPr>
                <w:rFonts w:ascii="Times New Roman" w:eastAsia="Times New Roman" w:hAnsi="Times New Roman" w:cs="Times New Roman"/>
                <w:b/>
                <w:bCs/>
                <w:lang w:val="en-US" w:eastAsia="es-ES"/>
              </w:rPr>
              <w:t>No.</w:t>
            </w:r>
          </w:p>
        </w:tc>
        <w:tc>
          <w:tcPr>
            <w:tcW w:w="1701" w:type="dxa"/>
            <w:tcBorders>
              <w:top w:val="single" w:sz="8" w:space="0" w:color="auto"/>
              <w:left w:val="nil"/>
              <w:bottom w:val="single" w:sz="8" w:space="0" w:color="auto"/>
              <w:right w:val="single" w:sz="4" w:space="0" w:color="auto"/>
            </w:tcBorders>
            <w:shd w:val="clear" w:color="auto" w:fill="auto"/>
            <w:noWrap/>
            <w:vAlign w:val="center"/>
            <w:hideMark/>
          </w:tcPr>
          <w:p w14:paraId="1F985804" w14:textId="77777777" w:rsidR="00452765" w:rsidRPr="008005F4" w:rsidRDefault="00452765" w:rsidP="00627EE3">
            <w:pPr>
              <w:spacing w:after="0" w:line="360" w:lineRule="auto"/>
              <w:jc w:val="center"/>
              <w:rPr>
                <w:rFonts w:ascii="Times New Roman" w:eastAsia="Times New Roman" w:hAnsi="Times New Roman" w:cs="Times New Roman"/>
                <w:b/>
                <w:bCs/>
                <w:lang w:val="en-US" w:eastAsia="es-ES"/>
              </w:rPr>
            </w:pPr>
            <w:r w:rsidRPr="008005F4">
              <w:rPr>
                <w:rFonts w:ascii="Times New Roman" w:eastAsia="Times New Roman" w:hAnsi="Times New Roman" w:cs="Times New Roman"/>
                <w:b/>
                <w:bCs/>
                <w:lang w:val="en-US" w:eastAsia="es-ES"/>
              </w:rPr>
              <w:t>Condition</w:t>
            </w:r>
          </w:p>
        </w:tc>
        <w:tc>
          <w:tcPr>
            <w:tcW w:w="8143" w:type="dxa"/>
            <w:tcBorders>
              <w:top w:val="single" w:sz="8" w:space="0" w:color="auto"/>
              <w:left w:val="nil"/>
              <w:bottom w:val="single" w:sz="8" w:space="0" w:color="auto"/>
              <w:right w:val="single" w:sz="4" w:space="0" w:color="auto"/>
            </w:tcBorders>
            <w:shd w:val="clear" w:color="auto" w:fill="auto"/>
            <w:noWrap/>
            <w:vAlign w:val="center"/>
            <w:hideMark/>
          </w:tcPr>
          <w:p w14:paraId="32755C3C" w14:textId="77777777" w:rsidR="00452765" w:rsidRPr="008005F4" w:rsidRDefault="00452765" w:rsidP="00627EE3">
            <w:pPr>
              <w:spacing w:after="0" w:line="360" w:lineRule="auto"/>
              <w:jc w:val="center"/>
              <w:rPr>
                <w:rFonts w:ascii="Times New Roman" w:eastAsia="Times New Roman" w:hAnsi="Times New Roman" w:cs="Times New Roman"/>
                <w:b/>
                <w:bCs/>
                <w:lang w:val="en-US" w:eastAsia="es-ES"/>
              </w:rPr>
            </w:pPr>
            <w:r>
              <w:rPr>
                <w:rFonts w:ascii="Times New Roman" w:eastAsia="Times New Roman" w:hAnsi="Times New Roman" w:cs="Times New Roman"/>
                <w:b/>
                <w:bCs/>
                <w:lang w:val="en-US" w:eastAsia="es-ES"/>
              </w:rPr>
              <w:t>Standard</w:t>
            </w:r>
          </w:p>
        </w:tc>
        <w:tc>
          <w:tcPr>
            <w:tcW w:w="2672" w:type="dxa"/>
            <w:tcBorders>
              <w:top w:val="single" w:sz="8" w:space="0" w:color="auto"/>
              <w:left w:val="nil"/>
              <w:bottom w:val="single" w:sz="8" w:space="0" w:color="auto"/>
              <w:right w:val="single" w:sz="8" w:space="0" w:color="auto"/>
            </w:tcBorders>
            <w:shd w:val="clear" w:color="auto" w:fill="auto"/>
            <w:noWrap/>
            <w:vAlign w:val="center"/>
            <w:hideMark/>
          </w:tcPr>
          <w:p w14:paraId="5B6027E9" w14:textId="77777777" w:rsidR="00452765" w:rsidRPr="008005F4" w:rsidRDefault="00452765" w:rsidP="00627EE3">
            <w:pPr>
              <w:spacing w:after="0" w:line="360" w:lineRule="auto"/>
              <w:ind w:right="45"/>
              <w:jc w:val="center"/>
              <w:rPr>
                <w:rFonts w:ascii="Times New Roman" w:eastAsia="Times New Roman" w:hAnsi="Times New Roman" w:cs="Times New Roman"/>
                <w:b/>
                <w:bCs/>
                <w:lang w:val="en-US" w:eastAsia="es-ES"/>
              </w:rPr>
            </w:pPr>
            <w:r w:rsidRPr="008005F4">
              <w:rPr>
                <w:rFonts w:ascii="Times New Roman" w:eastAsia="Times New Roman" w:hAnsi="Times New Roman" w:cs="Times New Roman"/>
                <w:b/>
                <w:bCs/>
                <w:lang w:val="en-US" w:eastAsia="es-ES"/>
              </w:rPr>
              <w:t>Source of information.</w:t>
            </w:r>
          </w:p>
        </w:tc>
        <w:tc>
          <w:tcPr>
            <w:tcW w:w="1290" w:type="dxa"/>
            <w:tcBorders>
              <w:top w:val="single" w:sz="8" w:space="0" w:color="auto"/>
              <w:left w:val="nil"/>
              <w:bottom w:val="single" w:sz="8" w:space="0" w:color="auto"/>
              <w:right w:val="single" w:sz="8" w:space="0" w:color="auto"/>
            </w:tcBorders>
            <w:vAlign w:val="center"/>
          </w:tcPr>
          <w:p w14:paraId="12E805BE" w14:textId="77777777" w:rsidR="00452765" w:rsidRPr="008005F4" w:rsidRDefault="00452765" w:rsidP="00627EE3">
            <w:pPr>
              <w:spacing w:after="0" w:line="360" w:lineRule="auto"/>
              <w:ind w:right="45"/>
              <w:jc w:val="center"/>
              <w:rPr>
                <w:rFonts w:ascii="Times New Roman" w:eastAsia="Times New Roman" w:hAnsi="Times New Roman" w:cs="Times New Roman"/>
                <w:b/>
                <w:bCs/>
                <w:lang w:val="en-US" w:eastAsia="es-ES"/>
              </w:rPr>
            </w:pPr>
            <w:r>
              <w:rPr>
                <w:rFonts w:ascii="Times New Roman" w:eastAsia="Times New Roman" w:hAnsi="Times New Roman" w:cs="Times New Roman"/>
                <w:b/>
                <w:bCs/>
                <w:lang w:val="en-US" w:eastAsia="es-ES"/>
              </w:rPr>
              <w:t>Overall compliance</w:t>
            </w:r>
          </w:p>
        </w:tc>
      </w:tr>
      <w:tr w:rsidR="00452765" w:rsidRPr="008005F4" w14:paraId="17C8C303" w14:textId="77777777" w:rsidTr="00306E3F">
        <w:trPr>
          <w:trHeight w:val="1065"/>
        </w:trPr>
        <w:tc>
          <w:tcPr>
            <w:tcW w:w="834"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72F2FAC2" w14:textId="77777777" w:rsidR="00452765" w:rsidRPr="008005F4" w:rsidRDefault="00452765" w:rsidP="00627EE3">
            <w:pPr>
              <w:spacing w:after="0" w:line="360" w:lineRule="auto"/>
              <w:jc w:val="center"/>
              <w:rPr>
                <w:rFonts w:ascii="Times New Roman" w:eastAsia="Times New Roman" w:hAnsi="Times New Roman" w:cs="Times New Roman"/>
                <w:b/>
                <w:bCs/>
                <w:lang w:val="en-US" w:eastAsia="es-ES"/>
              </w:rPr>
            </w:pPr>
            <w:r w:rsidRPr="008005F4">
              <w:rPr>
                <w:rFonts w:ascii="Times New Roman" w:eastAsia="Times New Roman" w:hAnsi="Times New Roman" w:cs="Times New Roman"/>
                <w:b/>
                <w:bCs/>
                <w:lang w:val="en-US" w:eastAsia="es-ES"/>
              </w:rPr>
              <w:t>1.</w:t>
            </w:r>
            <w:r w:rsidRPr="008005F4">
              <w:rPr>
                <w:rFonts w:ascii="Times New Roman" w:hAnsi="Times New Roman" w:cs="Times New Roman"/>
                <w:lang w:val="en-US"/>
              </w:rPr>
              <w:t xml:space="preserve"> </w:t>
            </w:r>
            <w:r w:rsidRPr="008005F4">
              <w:rPr>
                <w:rFonts w:ascii="Times New Roman" w:eastAsia="Times New Roman" w:hAnsi="Times New Roman" w:cs="Times New Roman"/>
                <w:b/>
                <w:bCs/>
                <w:lang w:val="en-US" w:eastAsia="es-ES"/>
              </w:rPr>
              <w:t>Assessment and counselling for cancer pain</w:t>
            </w:r>
          </w:p>
        </w:tc>
        <w:tc>
          <w:tcPr>
            <w:tcW w:w="568" w:type="dxa"/>
            <w:tcBorders>
              <w:top w:val="nil"/>
              <w:left w:val="nil"/>
              <w:bottom w:val="single" w:sz="4" w:space="0" w:color="auto"/>
              <w:right w:val="single" w:sz="4" w:space="0" w:color="auto"/>
            </w:tcBorders>
            <w:shd w:val="clear" w:color="auto" w:fill="auto"/>
            <w:noWrap/>
            <w:vAlign w:val="center"/>
            <w:hideMark/>
          </w:tcPr>
          <w:p w14:paraId="6E8AD53E"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1.1</w:t>
            </w:r>
          </w:p>
        </w:tc>
        <w:tc>
          <w:tcPr>
            <w:tcW w:w="1701" w:type="dxa"/>
            <w:tcBorders>
              <w:top w:val="nil"/>
              <w:left w:val="nil"/>
              <w:bottom w:val="single" w:sz="4" w:space="0" w:color="auto"/>
              <w:right w:val="single" w:sz="4" w:space="0" w:color="auto"/>
            </w:tcBorders>
            <w:shd w:val="clear" w:color="auto" w:fill="auto"/>
            <w:noWrap/>
            <w:vAlign w:val="center"/>
            <w:hideMark/>
          </w:tcPr>
          <w:p w14:paraId="5F239399"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Essential</w:t>
            </w:r>
          </w:p>
        </w:tc>
        <w:tc>
          <w:tcPr>
            <w:tcW w:w="8143" w:type="dxa"/>
            <w:tcBorders>
              <w:top w:val="nil"/>
              <w:left w:val="nil"/>
              <w:bottom w:val="single" w:sz="4" w:space="0" w:color="auto"/>
              <w:right w:val="single" w:sz="4" w:space="0" w:color="auto"/>
            </w:tcBorders>
            <w:shd w:val="clear" w:color="auto" w:fill="auto"/>
            <w:vAlign w:val="center"/>
            <w:hideMark/>
          </w:tcPr>
          <w:p w14:paraId="72E239F5"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At the time of admission, a comprehensive pain assessment should be carried out and recorded in the digital medical record in which the type and intensity of the pain described by the patient is systematically coded.</w:t>
            </w:r>
          </w:p>
        </w:tc>
        <w:tc>
          <w:tcPr>
            <w:tcW w:w="2672" w:type="dxa"/>
            <w:tcBorders>
              <w:top w:val="nil"/>
              <w:left w:val="nil"/>
              <w:bottom w:val="single" w:sz="4" w:space="0" w:color="auto"/>
              <w:right w:val="single" w:sz="8" w:space="0" w:color="auto"/>
            </w:tcBorders>
            <w:shd w:val="clear" w:color="auto" w:fill="auto"/>
            <w:vAlign w:val="center"/>
          </w:tcPr>
          <w:p w14:paraId="6BD662FD"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1AA06ED6"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87.5%</w:t>
            </w:r>
          </w:p>
        </w:tc>
      </w:tr>
      <w:tr w:rsidR="00452765" w:rsidRPr="008005F4" w14:paraId="518C1100" w14:textId="77777777" w:rsidTr="00306E3F">
        <w:trPr>
          <w:trHeight w:val="1065"/>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0BEE1792"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noWrap/>
            <w:vAlign w:val="center"/>
            <w:hideMark/>
          </w:tcPr>
          <w:p w14:paraId="480AE879"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1.2</w:t>
            </w:r>
          </w:p>
        </w:tc>
        <w:tc>
          <w:tcPr>
            <w:tcW w:w="1701" w:type="dxa"/>
            <w:tcBorders>
              <w:top w:val="nil"/>
              <w:left w:val="nil"/>
              <w:bottom w:val="single" w:sz="4" w:space="0" w:color="auto"/>
              <w:right w:val="single" w:sz="4" w:space="0" w:color="auto"/>
            </w:tcBorders>
            <w:shd w:val="clear" w:color="auto" w:fill="auto"/>
            <w:noWrap/>
            <w:vAlign w:val="center"/>
            <w:hideMark/>
          </w:tcPr>
          <w:p w14:paraId="658538C8"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42E02DCB"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To have an agreed protocol based on evidence that specifies context, assessment methods, classification, treatment, and monitoring of how pain assessment of cancer patients is carried out.</w:t>
            </w:r>
          </w:p>
        </w:tc>
        <w:tc>
          <w:tcPr>
            <w:tcW w:w="2672" w:type="dxa"/>
            <w:tcBorders>
              <w:top w:val="nil"/>
              <w:left w:val="nil"/>
              <w:bottom w:val="single" w:sz="4" w:space="0" w:color="auto"/>
              <w:right w:val="single" w:sz="8" w:space="0" w:color="auto"/>
            </w:tcBorders>
            <w:shd w:val="clear" w:color="auto" w:fill="auto"/>
            <w:vAlign w:val="center"/>
            <w:hideMark/>
          </w:tcPr>
          <w:p w14:paraId="2D49961F"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Hospital</w:t>
            </w:r>
            <w:r w:rsidRPr="008005F4">
              <w:rPr>
                <w:rFonts w:ascii="Times New Roman" w:eastAsia="Times New Roman" w:hAnsi="Times New Roman" w:cs="Times New Roman"/>
                <w:lang w:val="en-US" w:eastAsia="es-ES"/>
              </w:rPr>
              <w:t xml:space="preserve"> care protocol.</w:t>
            </w:r>
          </w:p>
        </w:tc>
        <w:tc>
          <w:tcPr>
            <w:tcW w:w="1290" w:type="dxa"/>
            <w:tcBorders>
              <w:top w:val="nil"/>
              <w:left w:val="nil"/>
              <w:bottom w:val="single" w:sz="4" w:space="0" w:color="auto"/>
              <w:right w:val="single" w:sz="8" w:space="0" w:color="auto"/>
            </w:tcBorders>
          </w:tcPr>
          <w:p w14:paraId="7B10E0C6" w14:textId="77777777" w:rsidR="00452765"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87.5%</w:t>
            </w:r>
          </w:p>
        </w:tc>
      </w:tr>
      <w:tr w:rsidR="00452765" w:rsidRPr="008005F4" w14:paraId="5772EE03" w14:textId="77777777" w:rsidTr="00306E3F">
        <w:trPr>
          <w:trHeight w:val="1065"/>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05751D9F"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noWrap/>
            <w:vAlign w:val="center"/>
            <w:hideMark/>
          </w:tcPr>
          <w:p w14:paraId="78FE1076"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1.3</w:t>
            </w:r>
          </w:p>
        </w:tc>
        <w:tc>
          <w:tcPr>
            <w:tcW w:w="1701" w:type="dxa"/>
            <w:tcBorders>
              <w:top w:val="nil"/>
              <w:left w:val="nil"/>
              <w:bottom w:val="single" w:sz="4" w:space="0" w:color="auto"/>
              <w:right w:val="single" w:sz="4" w:space="0" w:color="auto"/>
            </w:tcBorders>
            <w:shd w:val="clear" w:color="auto" w:fill="auto"/>
            <w:noWrap/>
            <w:vAlign w:val="center"/>
            <w:hideMark/>
          </w:tcPr>
          <w:p w14:paraId="45CA6572"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00A29385"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Each service must have established a care route that includes adequate coordination of the patients' agenda and ensures integrated care, considering different devices and levels of care led by a multidisciplinary team.</w:t>
            </w:r>
          </w:p>
        </w:tc>
        <w:tc>
          <w:tcPr>
            <w:tcW w:w="2672" w:type="dxa"/>
            <w:tcBorders>
              <w:top w:val="nil"/>
              <w:left w:val="nil"/>
              <w:bottom w:val="single" w:sz="4" w:space="0" w:color="auto"/>
              <w:right w:val="single" w:sz="8" w:space="0" w:color="auto"/>
            </w:tcBorders>
            <w:shd w:val="clear" w:color="auto" w:fill="auto"/>
            <w:vAlign w:val="center"/>
            <w:hideMark/>
          </w:tcPr>
          <w:p w14:paraId="78020544"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Healthcare route document.</w:t>
            </w:r>
          </w:p>
        </w:tc>
        <w:tc>
          <w:tcPr>
            <w:tcW w:w="1290" w:type="dxa"/>
            <w:tcBorders>
              <w:top w:val="nil"/>
              <w:left w:val="nil"/>
              <w:bottom w:val="single" w:sz="4" w:space="0" w:color="auto"/>
              <w:right w:val="single" w:sz="8" w:space="0" w:color="auto"/>
            </w:tcBorders>
          </w:tcPr>
          <w:p w14:paraId="00910B80"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75%</w:t>
            </w:r>
          </w:p>
        </w:tc>
      </w:tr>
      <w:tr w:rsidR="00452765" w:rsidRPr="008005F4" w14:paraId="4DDB9D6C" w14:textId="77777777" w:rsidTr="00306E3F">
        <w:trPr>
          <w:trHeight w:val="1065"/>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6F21D1FD"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vAlign w:val="center"/>
            <w:hideMark/>
          </w:tcPr>
          <w:p w14:paraId="7F81C799"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1.4</w:t>
            </w:r>
          </w:p>
        </w:tc>
        <w:tc>
          <w:tcPr>
            <w:tcW w:w="1701" w:type="dxa"/>
            <w:tcBorders>
              <w:top w:val="nil"/>
              <w:left w:val="nil"/>
              <w:bottom w:val="single" w:sz="4" w:space="0" w:color="auto"/>
              <w:right w:val="single" w:sz="4" w:space="0" w:color="auto"/>
            </w:tcBorders>
            <w:shd w:val="clear" w:color="auto" w:fill="auto"/>
            <w:noWrap/>
            <w:vAlign w:val="center"/>
            <w:hideMark/>
          </w:tcPr>
          <w:p w14:paraId="30D33FFB"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334A3C5A"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Assess the patient's profile for appropriate use of potent opioids and substances of abuse and record it in the medical record.</w:t>
            </w:r>
          </w:p>
        </w:tc>
        <w:tc>
          <w:tcPr>
            <w:tcW w:w="2672" w:type="dxa"/>
            <w:tcBorders>
              <w:top w:val="nil"/>
              <w:left w:val="nil"/>
              <w:bottom w:val="single" w:sz="4" w:space="0" w:color="auto"/>
              <w:right w:val="single" w:sz="8" w:space="0" w:color="auto"/>
            </w:tcBorders>
            <w:shd w:val="clear" w:color="auto" w:fill="auto"/>
            <w:vAlign w:val="center"/>
            <w:hideMark/>
          </w:tcPr>
          <w:p w14:paraId="41FA1D11"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3339DCE2"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100%</w:t>
            </w:r>
          </w:p>
        </w:tc>
      </w:tr>
      <w:tr w:rsidR="00452765" w:rsidRPr="00051372" w14:paraId="20F9E99B" w14:textId="77777777" w:rsidTr="00306E3F">
        <w:trPr>
          <w:trHeight w:val="1065"/>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7D331178"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8" w:space="0" w:color="auto"/>
              <w:right w:val="single" w:sz="4" w:space="0" w:color="auto"/>
            </w:tcBorders>
            <w:shd w:val="clear" w:color="auto" w:fill="auto"/>
            <w:vAlign w:val="center"/>
            <w:hideMark/>
          </w:tcPr>
          <w:p w14:paraId="2B32359C"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1.5</w:t>
            </w:r>
          </w:p>
        </w:tc>
        <w:tc>
          <w:tcPr>
            <w:tcW w:w="1701" w:type="dxa"/>
            <w:tcBorders>
              <w:top w:val="nil"/>
              <w:left w:val="nil"/>
              <w:bottom w:val="single" w:sz="8" w:space="0" w:color="auto"/>
              <w:right w:val="single" w:sz="4" w:space="0" w:color="auto"/>
            </w:tcBorders>
            <w:shd w:val="clear" w:color="auto" w:fill="auto"/>
            <w:noWrap/>
            <w:vAlign w:val="center"/>
            <w:hideMark/>
          </w:tcPr>
          <w:p w14:paraId="403F75D1"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8" w:space="0" w:color="auto"/>
              <w:right w:val="single" w:sz="4" w:space="0" w:color="auto"/>
            </w:tcBorders>
            <w:shd w:val="clear" w:color="auto" w:fill="auto"/>
            <w:vAlign w:val="center"/>
            <w:hideMark/>
          </w:tcPr>
          <w:p w14:paraId="5D97AC17"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3A6FBD">
              <w:rPr>
                <w:rFonts w:ascii="Times New Roman" w:eastAsia="Times New Roman" w:hAnsi="Times New Roman" w:cs="Times New Roman"/>
                <w:lang w:val="en-US" w:eastAsia="es-ES"/>
              </w:rPr>
              <w:t>Upon admission and during patient follow-up, should be carried out a periodic reassessment, using validated scales, of the characteristics of cancer pain (e.g., NIPAC, DN4), and of its intensity and interference in basic daily activities, variables directly related to the patient's quality of life (e.g., BPI). Monitoring mean and range scores can help to measure treatment effectiveness.</w:t>
            </w:r>
          </w:p>
        </w:tc>
        <w:tc>
          <w:tcPr>
            <w:tcW w:w="2672" w:type="dxa"/>
            <w:tcBorders>
              <w:top w:val="nil"/>
              <w:left w:val="nil"/>
              <w:bottom w:val="single" w:sz="8" w:space="0" w:color="auto"/>
              <w:right w:val="single" w:sz="8" w:space="0" w:color="auto"/>
            </w:tcBorders>
            <w:shd w:val="clear" w:color="auto" w:fill="auto"/>
            <w:vAlign w:val="center"/>
          </w:tcPr>
          <w:p w14:paraId="1EB1CE0B"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Checking the medical history for the use of scales.</w:t>
            </w:r>
          </w:p>
        </w:tc>
        <w:tc>
          <w:tcPr>
            <w:tcW w:w="1290" w:type="dxa"/>
            <w:tcBorders>
              <w:top w:val="nil"/>
              <w:left w:val="nil"/>
              <w:bottom w:val="single" w:sz="8" w:space="0" w:color="auto"/>
              <w:right w:val="single" w:sz="8" w:space="0" w:color="auto"/>
            </w:tcBorders>
          </w:tcPr>
          <w:p w14:paraId="263A2DC0"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75%</w:t>
            </w:r>
          </w:p>
        </w:tc>
      </w:tr>
      <w:tr w:rsidR="00452765" w:rsidRPr="008005F4" w14:paraId="086ED1EB" w14:textId="77777777" w:rsidTr="00306E3F">
        <w:trPr>
          <w:trHeight w:val="900"/>
        </w:trPr>
        <w:tc>
          <w:tcPr>
            <w:tcW w:w="834"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2E83A465" w14:textId="77777777" w:rsidR="00452765" w:rsidRPr="008005F4" w:rsidRDefault="00452765" w:rsidP="00627EE3">
            <w:pPr>
              <w:spacing w:after="0" w:line="360" w:lineRule="auto"/>
              <w:jc w:val="center"/>
              <w:rPr>
                <w:rFonts w:ascii="Times New Roman" w:eastAsia="Times New Roman" w:hAnsi="Times New Roman" w:cs="Times New Roman"/>
                <w:b/>
                <w:bCs/>
                <w:lang w:val="en-US" w:eastAsia="es-ES"/>
              </w:rPr>
            </w:pPr>
            <w:r w:rsidRPr="008005F4">
              <w:rPr>
                <w:rFonts w:ascii="Times New Roman" w:eastAsia="Times New Roman" w:hAnsi="Times New Roman" w:cs="Times New Roman"/>
                <w:b/>
                <w:bCs/>
                <w:lang w:val="en-US" w:eastAsia="es-ES"/>
              </w:rPr>
              <w:t>2.</w:t>
            </w:r>
            <w:r w:rsidRPr="008005F4">
              <w:rPr>
                <w:rFonts w:ascii="Times New Roman" w:hAnsi="Times New Roman" w:cs="Times New Roman"/>
                <w:lang w:val="en-US"/>
              </w:rPr>
              <w:t xml:space="preserve"> </w:t>
            </w:r>
            <w:r w:rsidRPr="008005F4">
              <w:rPr>
                <w:rFonts w:ascii="Times New Roman" w:eastAsia="Times New Roman" w:hAnsi="Times New Roman" w:cs="Times New Roman"/>
                <w:b/>
                <w:bCs/>
                <w:lang w:val="en-US" w:eastAsia="es-ES"/>
              </w:rPr>
              <w:t>Pharmacological treatment</w:t>
            </w:r>
          </w:p>
        </w:tc>
        <w:tc>
          <w:tcPr>
            <w:tcW w:w="568" w:type="dxa"/>
            <w:tcBorders>
              <w:top w:val="nil"/>
              <w:left w:val="nil"/>
              <w:bottom w:val="single" w:sz="4" w:space="0" w:color="auto"/>
              <w:right w:val="single" w:sz="4" w:space="0" w:color="auto"/>
            </w:tcBorders>
            <w:shd w:val="clear" w:color="auto" w:fill="auto"/>
            <w:noWrap/>
            <w:vAlign w:val="center"/>
            <w:hideMark/>
          </w:tcPr>
          <w:p w14:paraId="0B467C4E"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2.1</w:t>
            </w:r>
          </w:p>
        </w:tc>
        <w:tc>
          <w:tcPr>
            <w:tcW w:w="1701" w:type="dxa"/>
            <w:tcBorders>
              <w:top w:val="nil"/>
              <w:left w:val="nil"/>
              <w:bottom w:val="single" w:sz="4" w:space="0" w:color="auto"/>
              <w:right w:val="single" w:sz="4" w:space="0" w:color="auto"/>
            </w:tcBorders>
            <w:shd w:val="clear" w:color="auto" w:fill="auto"/>
            <w:noWrap/>
            <w:vAlign w:val="center"/>
            <w:hideMark/>
          </w:tcPr>
          <w:p w14:paraId="2A1B65FF"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Essential</w:t>
            </w:r>
          </w:p>
        </w:tc>
        <w:tc>
          <w:tcPr>
            <w:tcW w:w="8143" w:type="dxa"/>
            <w:tcBorders>
              <w:top w:val="nil"/>
              <w:left w:val="nil"/>
              <w:bottom w:val="single" w:sz="4" w:space="0" w:color="auto"/>
              <w:right w:val="single" w:sz="4" w:space="0" w:color="auto"/>
            </w:tcBorders>
            <w:shd w:val="clear" w:color="auto" w:fill="auto"/>
            <w:vAlign w:val="center"/>
            <w:hideMark/>
          </w:tcPr>
          <w:p w14:paraId="7824C12C" w14:textId="77777777" w:rsidR="00452765" w:rsidRPr="00B830A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Patients suffering from cancer pain will have a continuous therapeutic guideline of treatment (assuring a scheduled administration, at fixed times, to avoid the onset of pain), including rescue treatment for the control of the pain crisis and breakthrough pain.</w:t>
            </w:r>
          </w:p>
        </w:tc>
        <w:tc>
          <w:tcPr>
            <w:tcW w:w="2672" w:type="dxa"/>
            <w:tcBorders>
              <w:top w:val="nil"/>
              <w:left w:val="nil"/>
              <w:bottom w:val="single" w:sz="4" w:space="0" w:color="auto"/>
              <w:right w:val="single" w:sz="8" w:space="0" w:color="auto"/>
            </w:tcBorders>
            <w:shd w:val="clear" w:color="auto" w:fill="auto"/>
            <w:vAlign w:val="center"/>
            <w:hideMark/>
          </w:tcPr>
          <w:p w14:paraId="3513B783" w14:textId="77777777" w:rsidR="00452765" w:rsidRPr="001A2D18"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5073E040"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100%</w:t>
            </w:r>
          </w:p>
        </w:tc>
      </w:tr>
      <w:tr w:rsidR="00452765" w:rsidRPr="008005F4" w14:paraId="35062BA7" w14:textId="77777777" w:rsidTr="00306E3F">
        <w:trPr>
          <w:trHeight w:val="3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1E77CF9B"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noWrap/>
            <w:vAlign w:val="center"/>
            <w:hideMark/>
          </w:tcPr>
          <w:p w14:paraId="75643FBA"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2.2</w:t>
            </w:r>
          </w:p>
        </w:tc>
        <w:tc>
          <w:tcPr>
            <w:tcW w:w="1701" w:type="dxa"/>
            <w:tcBorders>
              <w:top w:val="nil"/>
              <w:left w:val="nil"/>
              <w:bottom w:val="single" w:sz="4" w:space="0" w:color="auto"/>
              <w:right w:val="single" w:sz="4" w:space="0" w:color="auto"/>
            </w:tcBorders>
            <w:shd w:val="clear" w:color="auto" w:fill="auto"/>
            <w:noWrap/>
            <w:vAlign w:val="center"/>
            <w:hideMark/>
          </w:tcPr>
          <w:p w14:paraId="21EDBB48"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Essential</w:t>
            </w:r>
          </w:p>
        </w:tc>
        <w:tc>
          <w:tcPr>
            <w:tcW w:w="8143" w:type="dxa"/>
            <w:tcBorders>
              <w:top w:val="nil"/>
              <w:left w:val="nil"/>
              <w:bottom w:val="single" w:sz="4" w:space="0" w:color="auto"/>
              <w:right w:val="single" w:sz="4" w:space="0" w:color="auto"/>
            </w:tcBorders>
            <w:shd w:val="clear" w:color="auto" w:fill="auto"/>
            <w:vAlign w:val="center"/>
            <w:hideMark/>
          </w:tcPr>
          <w:p w14:paraId="3836849C"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A therapeutic plan should be established by consensus with the patient (in which the patient and/or family is provided with a pharmacological treatment sheet which adequately specifies the drug prescribed and its rescue doses) which includes the analgesic objectives desired by the patient (if possible quantitative using the same initial assessment scales), as well as the temporality of its re-evaluation.</w:t>
            </w:r>
          </w:p>
        </w:tc>
        <w:tc>
          <w:tcPr>
            <w:tcW w:w="2672" w:type="dxa"/>
            <w:tcBorders>
              <w:top w:val="nil"/>
              <w:left w:val="nil"/>
              <w:bottom w:val="single" w:sz="4" w:space="0" w:color="auto"/>
              <w:right w:val="single" w:sz="8" w:space="0" w:color="auto"/>
            </w:tcBorders>
            <w:shd w:val="clear" w:color="auto" w:fill="auto"/>
            <w:vAlign w:val="center"/>
            <w:hideMark/>
          </w:tcPr>
          <w:p w14:paraId="1E8A2B24"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35A5CF15"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100%</w:t>
            </w:r>
          </w:p>
        </w:tc>
      </w:tr>
      <w:tr w:rsidR="00452765" w:rsidRPr="008005F4" w14:paraId="6272E13F" w14:textId="77777777" w:rsidTr="00306E3F">
        <w:trPr>
          <w:trHeight w:val="762"/>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48C56309"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noWrap/>
            <w:vAlign w:val="center"/>
            <w:hideMark/>
          </w:tcPr>
          <w:p w14:paraId="5775210B"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2.3</w:t>
            </w:r>
          </w:p>
        </w:tc>
        <w:tc>
          <w:tcPr>
            <w:tcW w:w="1701" w:type="dxa"/>
            <w:tcBorders>
              <w:top w:val="nil"/>
              <w:left w:val="nil"/>
              <w:bottom w:val="single" w:sz="4" w:space="0" w:color="auto"/>
              <w:right w:val="single" w:sz="4" w:space="0" w:color="auto"/>
            </w:tcBorders>
            <w:shd w:val="clear" w:color="auto" w:fill="auto"/>
            <w:noWrap/>
            <w:vAlign w:val="center"/>
            <w:hideMark/>
          </w:tcPr>
          <w:p w14:paraId="4381757E"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Essential</w:t>
            </w:r>
          </w:p>
        </w:tc>
        <w:tc>
          <w:tcPr>
            <w:tcW w:w="8143" w:type="dxa"/>
            <w:tcBorders>
              <w:top w:val="nil"/>
              <w:left w:val="nil"/>
              <w:bottom w:val="single" w:sz="4" w:space="0" w:color="auto"/>
              <w:right w:val="single" w:sz="4" w:space="0" w:color="auto"/>
            </w:tcBorders>
            <w:shd w:val="clear" w:color="auto" w:fill="auto"/>
            <w:vAlign w:val="center"/>
            <w:hideMark/>
          </w:tcPr>
          <w:p w14:paraId="58853C16"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The most frequent side effects of analgesic and adjuvant treatments should be monitored.</w:t>
            </w:r>
          </w:p>
        </w:tc>
        <w:tc>
          <w:tcPr>
            <w:tcW w:w="2672" w:type="dxa"/>
            <w:tcBorders>
              <w:top w:val="nil"/>
              <w:left w:val="nil"/>
              <w:bottom w:val="single" w:sz="4" w:space="0" w:color="auto"/>
              <w:right w:val="single" w:sz="8" w:space="0" w:color="auto"/>
            </w:tcBorders>
            <w:shd w:val="clear" w:color="auto" w:fill="auto"/>
            <w:vAlign w:val="center"/>
          </w:tcPr>
          <w:p w14:paraId="0A5F059E"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7A6727E8"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100%</w:t>
            </w:r>
          </w:p>
        </w:tc>
      </w:tr>
      <w:tr w:rsidR="00452765" w:rsidRPr="008005F4" w14:paraId="44B77F58" w14:textId="77777777" w:rsidTr="00306E3F">
        <w:trPr>
          <w:trHeight w:val="6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6C38125D"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noWrap/>
            <w:vAlign w:val="center"/>
            <w:hideMark/>
          </w:tcPr>
          <w:p w14:paraId="3E2569E1"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2.4</w:t>
            </w:r>
          </w:p>
        </w:tc>
        <w:tc>
          <w:tcPr>
            <w:tcW w:w="1701" w:type="dxa"/>
            <w:tcBorders>
              <w:top w:val="nil"/>
              <w:left w:val="nil"/>
              <w:bottom w:val="single" w:sz="4" w:space="0" w:color="auto"/>
              <w:right w:val="single" w:sz="4" w:space="0" w:color="auto"/>
            </w:tcBorders>
            <w:shd w:val="clear" w:color="auto" w:fill="auto"/>
            <w:noWrap/>
            <w:vAlign w:val="center"/>
            <w:hideMark/>
          </w:tcPr>
          <w:p w14:paraId="3C5BAC63"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23F12F07"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Preventive medication should be given for the unwanted effects of analgesics (with special consideration for the prevention and treatment of opioid-induced constipation).</w:t>
            </w:r>
          </w:p>
        </w:tc>
        <w:tc>
          <w:tcPr>
            <w:tcW w:w="2672" w:type="dxa"/>
            <w:tcBorders>
              <w:top w:val="nil"/>
              <w:left w:val="nil"/>
              <w:bottom w:val="single" w:sz="4" w:space="0" w:color="auto"/>
              <w:right w:val="single" w:sz="8" w:space="0" w:color="auto"/>
            </w:tcBorders>
            <w:shd w:val="clear" w:color="auto" w:fill="auto"/>
            <w:vAlign w:val="center"/>
            <w:hideMark/>
          </w:tcPr>
          <w:p w14:paraId="76A5E9F2"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560CD0EA"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100%</w:t>
            </w:r>
          </w:p>
        </w:tc>
      </w:tr>
      <w:tr w:rsidR="00452765" w:rsidRPr="008005F4" w14:paraId="6112BF97" w14:textId="77777777" w:rsidTr="00306E3F">
        <w:trPr>
          <w:trHeight w:val="6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4E9D20BE"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noWrap/>
            <w:vAlign w:val="center"/>
            <w:hideMark/>
          </w:tcPr>
          <w:p w14:paraId="7CFE07B0"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2.5</w:t>
            </w:r>
          </w:p>
        </w:tc>
        <w:tc>
          <w:tcPr>
            <w:tcW w:w="1701" w:type="dxa"/>
            <w:tcBorders>
              <w:top w:val="nil"/>
              <w:left w:val="nil"/>
              <w:bottom w:val="single" w:sz="4" w:space="0" w:color="auto"/>
              <w:right w:val="single" w:sz="4" w:space="0" w:color="auto"/>
            </w:tcBorders>
            <w:shd w:val="clear" w:color="auto" w:fill="auto"/>
            <w:noWrap/>
            <w:vAlign w:val="center"/>
            <w:hideMark/>
          </w:tcPr>
          <w:p w14:paraId="3879F601"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39DF6300"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There must be a plan for monitoring the degree of therapy adherence.</w:t>
            </w:r>
          </w:p>
        </w:tc>
        <w:tc>
          <w:tcPr>
            <w:tcW w:w="2672" w:type="dxa"/>
            <w:tcBorders>
              <w:top w:val="nil"/>
              <w:left w:val="nil"/>
              <w:bottom w:val="single" w:sz="4" w:space="0" w:color="auto"/>
              <w:right w:val="single" w:sz="8" w:space="0" w:color="auto"/>
            </w:tcBorders>
            <w:shd w:val="clear" w:color="auto" w:fill="auto"/>
            <w:vAlign w:val="center"/>
            <w:hideMark/>
          </w:tcPr>
          <w:p w14:paraId="49E5BA49"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0D2860B5"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100%</w:t>
            </w:r>
          </w:p>
        </w:tc>
      </w:tr>
      <w:tr w:rsidR="00452765" w:rsidRPr="008005F4" w14:paraId="07628AB6" w14:textId="77777777" w:rsidTr="00306E3F">
        <w:trPr>
          <w:trHeight w:val="915"/>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274CFAC5"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8" w:space="0" w:color="auto"/>
              <w:right w:val="single" w:sz="4" w:space="0" w:color="auto"/>
            </w:tcBorders>
            <w:shd w:val="clear" w:color="auto" w:fill="auto"/>
            <w:vAlign w:val="center"/>
            <w:hideMark/>
          </w:tcPr>
          <w:p w14:paraId="4F3D1528"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2.6</w:t>
            </w:r>
          </w:p>
        </w:tc>
        <w:tc>
          <w:tcPr>
            <w:tcW w:w="1701" w:type="dxa"/>
            <w:tcBorders>
              <w:top w:val="nil"/>
              <w:left w:val="nil"/>
              <w:bottom w:val="single" w:sz="8" w:space="0" w:color="auto"/>
              <w:right w:val="single" w:sz="4" w:space="0" w:color="auto"/>
            </w:tcBorders>
            <w:shd w:val="clear" w:color="auto" w:fill="auto"/>
            <w:noWrap/>
            <w:vAlign w:val="center"/>
            <w:hideMark/>
          </w:tcPr>
          <w:p w14:paraId="75618535"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8" w:space="0" w:color="auto"/>
              <w:right w:val="single" w:sz="4" w:space="0" w:color="auto"/>
            </w:tcBorders>
            <w:shd w:val="clear" w:color="auto" w:fill="auto"/>
            <w:vAlign w:val="center"/>
            <w:hideMark/>
          </w:tcPr>
          <w:p w14:paraId="39402EC0"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A specific record should be kept in the digital medical record of the "itinerary" through the WHO analgesic ladder, as well as the reasons for it (at the discretion of your responsible physician), to facilitate the best coordination between the responsible team and the inter-current (emergency) teams.</w:t>
            </w:r>
          </w:p>
        </w:tc>
        <w:tc>
          <w:tcPr>
            <w:tcW w:w="2672" w:type="dxa"/>
            <w:tcBorders>
              <w:top w:val="nil"/>
              <w:left w:val="nil"/>
              <w:bottom w:val="single" w:sz="8" w:space="0" w:color="auto"/>
              <w:right w:val="single" w:sz="8" w:space="0" w:color="auto"/>
            </w:tcBorders>
            <w:shd w:val="clear" w:color="auto" w:fill="auto"/>
            <w:vAlign w:val="center"/>
            <w:hideMark/>
          </w:tcPr>
          <w:p w14:paraId="6E4E5630"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8" w:space="0" w:color="auto"/>
              <w:right w:val="single" w:sz="8" w:space="0" w:color="auto"/>
            </w:tcBorders>
          </w:tcPr>
          <w:p w14:paraId="4E4D527E"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62.5%</w:t>
            </w:r>
          </w:p>
        </w:tc>
      </w:tr>
      <w:tr w:rsidR="00452765" w:rsidRPr="008005F4" w14:paraId="3FEA8522" w14:textId="77777777" w:rsidTr="00306E3F">
        <w:trPr>
          <w:trHeight w:val="900"/>
        </w:trPr>
        <w:tc>
          <w:tcPr>
            <w:tcW w:w="834"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tcPr>
          <w:p w14:paraId="6A7020E9" w14:textId="77777777" w:rsidR="00452765" w:rsidRPr="008005F4" w:rsidRDefault="00452765" w:rsidP="00627EE3">
            <w:pPr>
              <w:spacing w:after="0" w:line="360" w:lineRule="auto"/>
              <w:jc w:val="center"/>
              <w:rPr>
                <w:rFonts w:ascii="Times New Roman" w:eastAsia="Times New Roman" w:hAnsi="Times New Roman" w:cs="Times New Roman"/>
                <w:b/>
                <w:bCs/>
                <w:lang w:val="en-US" w:eastAsia="es-ES"/>
              </w:rPr>
            </w:pPr>
            <w:r w:rsidRPr="008005F4">
              <w:rPr>
                <w:rFonts w:ascii="Times New Roman" w:eastAsia="Times New Roman" w:hAnsi="Times New Roman" w:cs="Times New Roman"/>
                <w:b/>
                <w:bCs/>
                <w:lang w:val="en-US" w:eastAsia="es-ES"/>
              </w:rPr>
              <w:t>3. Non-pharmacological treatment</w:t>
            </w:r>
          </w:p>
        </w:tc>
        <w:tc>
          <w:tcPr>
            <w:tcW w:w="568" w:type="dxa"/>
            <w:tcBorders>
              <w:top w:val="nil"/>
              <w:left w:val="nil"/>
              <w:bottom w:val="single" w:sz="4" w:space="0" w:color="auto"/>
              <w:right w:val="single" w:sz="4" w:space="0" w:color="auto"/>
            </w:tcBorders>
            <w:shd w:val="clear" w:color="auto" w:fill="auto"/>
            <w:noWrap/>
            <w:vAlign w:val="center"/>
            <w:hideMark/>
          </w:tcPr>
          <w:p w14:paraId="6AAB7EB5"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3.1</w:t>
            </w:r>
          </w:p>
        </w:tc>
        <w:tc>
          <w:tcPr>
            <w:tcW w:w="1701" w:type="dxa"/>
            <w:tcBorders>
              <w:top w:val="nil"/>
              <w:left w:val="nil"/>
              <w:bottom w:val="single" w:sz="4" w:space="0" w:color="auto"/>
              <w:right w:val="single" w:sz="4" w:space="0" w:color="auto"/>
            </w:tcBorders>
            <w:shd w:val="clear" w:color="auto" w:fill="auto"/>
            <w:noWrap/>
            <w:vAlign w:val="center"/>
            <w:hideMark/>
          </w:tcPr>
          <w:p w14:paraId="5028CD74"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Essential</w:t>
            </w:r>
          </w:p>
        </w:tc>
        <w:tc>
          <w:tcPr>
            <w:tcW w:w="8143" w:type="dxa"/>
            <w:tcBorders>
              <w:top w:val="nil"/>
              <w:left w:val="nil"/>
              <w:bottom w:val="single" w:sz="4" w:space="0" w:color="auto"/>
              <w:right w:val="single" w:sz="4" w:space="0" w:color="auto"/>
            </w:tcBorders>
            <w:shd w:val="clear" w:color="auto" w:fill="auto"/>
            <w:vAlign w:val="center"/>
            <w:hideMark/>
          </w:tcPr>
          <w:p w14:paraId="485EC3F7"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Psychosocial support should be offered to the patient for better pain management, from the time of diagnosis and throughout the care process according to the needs of the patient in view of the impact and repercussions of the disease on the patient and his or her social and family environment.</w:t>
            </w:r>
          </w:p>
        </w:tc>
        <w:tc>
          <w:tcPr>
            <w:tcW w:w="2672" w:type="dxa"/>
            <w:tcBorders>
              <w:top w:val="nil"/>
              <w:left w:val="nil"/>
              <w:bottom w:val="single" w:sz="4" w:space="0" w:color="auto"/>
              <w:right w:val="single" w:sz="8" w:space="0" w:color="auto"/>
            </w:tcBorders>
            <w:shd w:val="clear" w:color="auto" w:fill="auto"/>
            <w:vAlign w:val="center"/>
            <w:hideMark/>
          </w:tcPr>
          <w:p w14:paraId="7690B8FD"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2915AF15"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75%</w:t>
            </w:r>
          </w:p>
        </w:tc>
      </w:tr>
      <w:tr w:rsidR="00452765" w:rsidRPr="008005F4" w14:paraId="3E7AFD03" w14:textId="77777777" w:rsidTr="00306E3F">
        <w:trPr>
          <w:trHeight w:val="6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23022E4A"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noWrap/>
            <w:vAlign w:val="center"/>
            <w:hideMark/>
          </w:tcPr>
          <w:p w14:paraId="25B6848E"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3.2</w:t>
            </w:r>
          </w:p>
        </w:tc>
        <w:tc>
          <w:tcPr>
            <w:tcW w:w="1701" w:type="dxa"/>
            <w:tcBorders>
              <w:top w:val="nil"/>
              <w:left w:val="nil"/>
              <w:bottom w:val="single" w:sz="4" w:space="0" w:color="auto"/>
              <w:right w:val="single" w:sz="4" w:space="0" w:color="auto"/>
            </w:tcBorders>
            <w:shd w:val="clear" w:color="auto" w:fill="auto"/>
            <w:noWrap/>
            <w:vAlign w:val="center"/>
            <w:hideMark/>
          </w:tcPr>
          <w:p w14:paraId="660813D9"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5EEE6AFC"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A primary caregiver identification should be performed for all patients with chronic pain, along with an assessment of their degree of overload.</w:t>
            </w:r>
          </w:p>
        </w:tc>
        <w:tc>
          <w:tcPr>
            <w:tcW w:w="2672" w:type="dxa"/>
            <w:tcBorders>
              <w:top w:val="nil"/>
              <w:left w:val="nil"/>
              <w:bottom w:val="single" w:sz="4" w:space="0" w:color="auto"/>
              <w:right w:val="single" w:sz="8" w:space="0" w:color="auto"/>
            </w:tcBorders>
            <w:shd w:val="clear" w:color="auto" w:fill="auto"/>
            <w:vAlign w:val="center"/>
            <w:hideMark/>
          </w:tcPr>
          <w:p w14:paraId="7B8B28C0"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24A73A79"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87.5%</w:t>
            </w:r>
          </w:p>
        </w:tc>
      </w:tr>
      <w:tr w:rsidR="00452765" w:rsidRPr="008005F4" w14:paraId="5792F45D" w14:textId="77777777" w:rsidTr="00306E3F">
        <w:trPr>
          <w:trHeight w:val="6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0F4939C1"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noWrap/>
            <w:vAlign w:val="center"/>
            <w:hideMark/>
          </w:tcPr>
          <w:p w14:paraId="0739568A"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3.3</w:t>
            </w:r>
          </w:p>
        </w:tc>
        <w:tc>
          <w:tcPr>
            <w:tcW w:w="1701" w:type="dxa"/>
            <w:tcBorders>
              <w:top w:val="nil"/>
              <w:left w:val="nil"/>
              <w:bottom w:val="single" w:sz="4" w:space="0" w:color="auto"/>
              <w:right w:val="single" w:sz="4" w:space="0" w:color="auto"/>
            </w:tcBorders>
            <w:shd w:val="clear" w:color="auto" w:fill="auto"/>
            <w:noWrap/>
            <w:vAlign w:val="center"/>
            <w:hideMark/>
          </w:tcPr>
          <w:p w14:paraId="3DB9B32A"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181B3398"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In case of pain that does not subside with non-invasive treatment, a non-pharmacological interventional technique should be proposed to the patient.</w:t>
            </w:r>
          </w:p>
        </w:tc>
        <w:tc>
          <w:tcPr>
            <w:tcW w:w="2672" w:type="dxa"/>
            <w:tcBorders>
              <w:top w:val="nil"/>
              <w:left w:val="nil"/>
              <w:bottom w:val="single" w:sz="4" w:space="0" w:color="auto"/>
              <w:right w:val="single" w:sz="8" w:space="0" w:color="auto"/>
            </w:tcBorders>
            <w:shd w:val="clear" w:color="auto" w:fill="auto"/>
            <w:vAlign w:val="center"/>
            <w:hideMark/>
          </w:tcPr>
          <w:p w14:paraId="6696FFD2"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49E0FE92"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62.5%</w:t>
            </w:r>
          </w:p>
        </w:tc>
      </w:tr>
      <w:tr w:rsidR="00452765" w:rsidRPr="008005F4" w14:paraId="688AE0B4" w14:textId="77777777" w:rsidTr="00306E3F">
        <w:trPr>
          <w:trHeight w:val="3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3BB57F02"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vAlign w:val="center"/>
            <w:hideMark/>
          </w:tcPr>
          <w:p w14:paraId="3CD646CB"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3.4</w:t>
            </w:r>
          </w:p>
        </w:tc>
        <w:tc>
          <w:tcPr>
            <w:tcW w:w="1701" w:type="dxa"/>
            <w:tcBorders>
              <w:top w:val="nil"/>
              <w:left w:val="nil"/>
              <w:bottom w:val="single" w:sz="4" w:space="0" w:color="auto"/>
              <w:right w:val="single" w:sz="4" w:space="0" w:color="auto"/>
            </w:tcBorders>
            <w:shd w:val="clear" w:color="auto" w:fill="auto"/>
            <w:noWrap/>
            <w:vAlign w:val="center"/>
            <w:hideMark/>
          </w:tcPr>
          <w:p w14:paraId="0366B623"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16660EC5"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Spiritual and religious service will be offered to all those patients with chronic pain who request it.</w:t>
            </w:r>
          </w:p>
        </w:tc>
        <w:tc>
          <w:tcPr>
            <w:tcW w:w="2672" w:type="dxa"/>
            <w:tcBorders>
              <w:top w:val="nil"/>
              <w:left w:val="nil"/>
              <w:bottom w:val="single" w:sz="4" w:space="0" w:color="auto"/>
              <w:right w:val="single" w:sz="8" w:space="0" w:color="auto"/>
            </w:tcBorders>
            <w:shd w:val="clear" w:color="auto" w:fill="auto"/>
            <w:vAlign w:val="center"/>
          </w:tcPr>
          <w:p w14:paraId="64515BEE"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Medical record.</w:t>
            </w:r>
          </w:p>
        </w:tc>
        <w:tc>
          <w:tcPr>
            <w:tcW w:w="1290" w:type="dxa"/>
            <w:tcBorders>
              <w:top w:val="nil"/>
              <w:left w:val="nil"/>
              <w:bottom w:val="single" w:sz="4" w:space="0" w:color="auto"/>
              <w:right w:val="single" w:sz="8" w:space="0" w:color="auto"/>
            </w:tcBorders>
          </w:tcPr>
          <w:p w14:paraId="2040946D"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87.5%</w:t>
            </w:r>
          </w:p>
        </w:tc>
      </w:tr>
      <w:tr w:rsidR="00452765" w:rsidRPr="008005F4" w14:paraId="2926D6D2" w14:textId="77777777" w:rsidTr="00306E3F">
        <w:trPr>
          <w:trHeight w:val="1815"/>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32DB41B1"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8" w:space="0" w:color="auto"/>
              <w:right w:val="single" w:sz="4" w:space="0" w:color="auto"/>
            </w:tcBorders>
            <w:shd w:val="clear" w:color="auto" w:fill="auto"/>
            <w:vAlign w:val="center"/>
            <w:hideMark/>
          </w:tcPr>
          <w:p w14:paraId="2073F726"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3.5</w:t>
            </w:r>
          </w:p>
        </w:tc>
        <w:tc>
          <w:tcPr>
            <w:tcW w:w="1701" w:type="dxa"/>
            <w:tcBorders>
              <w:top w:val="nil"/>
              <w:left w:val="nil"/>
              <w:bottom w:val="single" w:sz="8" w:space="0" w:color="auto"/>
              <w:right w:val="single" w:sz="4" w:space="0" w:color="auto"/>
            </w:tcBorders>
            <w:shd w:val="clear" w:color="auto" w:fill="auto"/>
            <w:noWrap/>
            <w:vAlign w:val="center"/>
            <w:hideMark/>
          </w:tcPr>
          <w:p w14:paraId="1BDD2A19"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8" w:space="0" w:color="auto"/>
              <w:right w:val="single" w:sz="4" w:space="0" w:color="auto"/>
            </w:tcBorders>
            <w:shd w:val="clear" w:color="auto" w:fill="auto"/>
            <w:vAlign w:val="center"/>
            <w:hideMark/>
          </w:tcPr>
          <w:p w14:paraId="0EA4CAE4"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The patient should evaluate with the professional which non-pharmacological alternatives can be added to the pharmacological treatment, for example: (Encourage rest and relaxation; Diet adapted to the patient's situation. Adaptation of the physical spaces to their needs; Integration of the family in the care; Promotion of hobbies; Adaptation and flexibility in the schedules; Active attitude of the professionals; Application of cold/heat moderation; Soft massage; Aromatherapy; Reflexology; Active and passive mobilizations; Music therapy; Art therapy; Meditation; Humor and laughter therapy; Active listening; Visualization).</w:t>
            </w:r>
          </w:p>
        </w:tc>
        <w:tc>
          <w:tcPr>
            <w:tcW w:w="2672" w:type="dxa"/>
            <w:tcBorders>
              <w:top w:val="nil"/>
              <w:left w:val="nil"/>
              <w:bottom w:val="single" w:sz="8" w:space="0" w:color="auto"/>
              <w:right w:val="single" w:sz="8" w:space="0" w:color="auto"/>
            </w:tcBorders>
            <w:shd w:val="clear" w:color="auto" w:fill="auto"/>
            <w:vAlign w:val="center"/>
            <w:hideMark/>
          </w:tcPr>
          <w:p w14:paraId="63083D15"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8" w:space="0" w:color="auto"/>
              <w:right w:val="single" w:sz="8" w:space="0" w:color="auto"/>
            </w:tcBorders>
          </w:tcPr>
          <w:p w14:paraId="4E1C2791"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87.5%</w:t>
            </w:r>
          </w:p>
        </w:tc>
      </w:tr>
      <w:tr w:rsidR="00452765" w:rsidRPr="008005F4" w14:paraId="21D265F9" w14:textId="77777777" w:rsidTr="00306E3F">
        <w:trPr>
          <w:trHeight w:val="600"/>
        </w:trPr>
        <w:tc>
          <w:tcPr>
            <w:tcW w:w="834"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14:paraId="520BF467" w14:textId="77777777" w:rsidR="00452765" w:rsidRPr="008005F4" w:rsidRDefault="00452765" w:rsidP="00627EE3">
            <w:pPr>
              <w:spacing w:after="0" w:line="360" w:lineRule="auto"/>
              <w:jc w:val="center"/>
              <w:rPr>
                <w:rFonts w:ascii="Times New Roman" w:eastAsia="Times New Roman" w:hAnsi="Times New Roman" w:cs="Times New Roman"/>
                <w:b/>
                <w:bCs/>
                <w:lang w:val="en-US" w:eastAsia="es-ES"/>
              </w:rPr>
            </w:pPr>
            <w:r w:rsidRPr="008005F4">
              <w:rPr>
                <w:rFonts w:ascii="Times New Roman" w:eastAsia="Times New Roman" w:hAnsi="Times New Roman" w:cs="Times New Roman"/>
                <w:b/>
                <w:bCs/>
                <w:lang w:val="en-US" w:eastAsia="es-ES"/>
              </w:rPr>
              <w:t>4.</w:t>
            </w:r>
            <w:r w:rsidRPr="008005F4">
              <w:rPr>
                <w:rFonts w:ascii="Times New Roman" w:hAnsi="Times New Roman" w:cs="Times New Roman"/>
                <w:lang w:val="en-US"/>
              </w:rPr>
              <w:t xml:space="preserve"> </w:t>
            </w:r>
            <w:r w:rsidRPr="008005F4">
              <w:rPr>
                <w:rFonts w:ascii="Times New Roman" w:eastAsia="Times New Roman" w:hAnsi="Times New Roman" w:cs="Times New Roman"/>
                <w:b/>
                <w:bCs/>
                <w:lang w:val="en-US" w:eastAsia="es-ES"/>
              </w:rPr>
              <w:t>Palliative Care</w:t>
            </w:r>
          </w:p>
        </w:tc>
        <w:tc>
          <w:tcPr>
            <w:tcW w:w="568" w:type="dxa"/>
            <w:tcBorders>
              <w:top w:val="nil"/>
              <w:left w:val="nil"/>
              <w:bottom w:val="single" w:sz="4" w:space="0" w:color="auto"/>
              <w:right w:val="single" w:sz="4" w:space="0" w:color="auto"/>
            </w:tcBorders>
            <w:shd w:val="clear" w:color="auto" w:fill="auto"/>
            <w:noWrap/>
            <w:vAlign w:val="center"/>
            <w:hideMark/>
          </w:tcPr>
          <w:p w14:paraId="2FAC0383"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4.1</w:t>
            </w:r>
          </w:p>
        </w:tc>
        <w:tc>
          <w:tcPr>
            <w:tcW w:w="1701" w:type="dxa"/>
            <w:tcBorders>
              <w:top w:val="nil"/>
              <w:left w:val="nil"/>
              <w:bottom w:val="single" w:sz="4" w:space="0" w:color="auto"/>
              <w:right w:val="single" w:sz="4" w:space="0" w:color="auto"/>
            </w:tcBorders>
            <w:shd w:val="clear" w:color="auto" w:fill="auto"/>
            <w:noWrap/>
            <w:vAlign w:val="center"/>
            <w:hideMark/>
          </w:tcPr>
          <w:p w14:paraId="750F883C"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Essential</w:t>
            </w:r>
          </w:p>
        </w:tc>
        <w:tc>
          <w:tcPr>
            <w:tcW w:w="8143" w:type="dxa"/>
            <w:tcBorders>
              <w:top w:val="nil"/>
              <w:left w:val="nil"/>
              <w:bottom w:val="single" w:sz="4" w:space="0" w:color="auto"/>
              <w:right w:val="single" w:sz="4" w:space="0" w:color="auto"/>
            </w:tcBorders>
            <w:shd w:val="clear" w:color="auto" w:fill="auto"/>
            <w:vAlign w:val="center"/>
            <w:hideMark/>
          </w:tcPr>
          <w:p w14:paraId="6FEA6938"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All patients should have access to palliative and supportive care, throughout the course of their illness, according to the existing care structure in their geographical area.</w:t>
            </w:r>
          </w:p>
        </w:tc>
        <w:tc>
          <w:tcPr>
            <w:tcW w:w="2672" w:type="dxa"/>
            <w:tcBorders>
              <w:top w:val="nil"/>
              <w:left w:val="nil"/>
              <w:bottom w:val="single" w:sz="4" w:space="0" w:color="auto"/>
              <w:right w:val="single" w:sz="8" w:space="0" w:color="auto"/>
            </w:tcBorders>
            <w:shd w:val="clear" w:color="auto" w:fill="auto"/>
            <w:vAlign w:val="center"/>
            <w:hideMark/>
          </w:tcPr>
          <w:p w14:paraId="0ED37A44"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62062BFD"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100%</w:t>
            </w:r>
          </w:p>
        </w:tc>
      </w:tr>
      <w:tr w:rsidR="00452765" w:rsidRPr="008005F4" w14:paraId="484D92D9" w14:textId="77777777" w:rsidTr="00306E3F">
        <w:trPr>
          <w:trHeight w:val="9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1F9ECBDD"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noWrap/>
            <w:vAlign w:val="center"/>
            <w:hideMark/>
          </w:tcPr>
          <w:p w14:paraId="29FF9EED"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4.2</w:t>
            </w:r>
          </w:p>
        </w:tc>
        <w:tc>
          <w:tcPr>
            <w:tcW w:w="1701" w:type="dxa"/>
            <w:tcBorders>
              <w:top w:val="nil"/>
              <w:left w:val="nil"/>
              <w:bottom w:val="single" w:sz="4" w:space="0" w:color="auto"/>
              <w:right w:val="single" w:sz="4" w:space="0" w:color="auto"/>
            </w:tcBorders>
            <w:shd w:val="clear" w:color="auto" w:fill="auto"/>
            <w:noWrap/>
            <w:vAlign w:val="center"/>
            <w:hideMark/>
          </w:tcPr>
          <w:p w14:paraId="4E80A212"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37D65A51"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An agreed protocol for referral to palliative care developed from a multidisciplinary perspective should be applied.</w:t>
            </w:r>
          </w:p>
        </w:tc>
        <w:tc>
          <w:tcPr>
            <w:tcW w:w="2672" w:type="dxa"/>
            <w:tcBorders>
              <w:top w:val="nil"/>
              <w:left w:val="nil"/>
              <w:bottom w:val="single" w:sz="4" w:space="0" w:color="auto"/>
              <w:right w:val="single" w:sz="8" w:space="0" w:color="auto"/>
            </w:tcBorders>
            <w:shd w:val="clear" w:color="auto" w:fill="auto"/>
            <w:vAlign w:val="center"/>
            <w:hideMark/>
          </w:tcPr>
          <w:p w14:paraId="35539DBC"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Medical record.</w:t>
            </w:r>
          </w:p>
        </w:tc>
        <w:tc>
          <w:tcPr>
            <w:tcW w:w="1290" w:type="dxa"/>
            <w:tcBorders>
              <w:top w:val="nil"/>
              <w:left w:val="nil"/>
              <w:bottom w:val="single" w:sz="4" w:space="0" w:color="auto"/>
              <w:right w:val="single" w:sz="8" w:space="0" w:color="auto"/>
            </w:tcBorders>
          </w:tcPr>
          <w:p w14:paraId="63D6F3A3"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87.5%</w:t>
            </w:r>
          </w:p>
        </w:tc>
      </w:tr>
      <w:tr w:rsidR="00452765" w:rsidRPr="008005F4" w14:paraId="400E61B5" w14:textId="77777777" w:rsidTr="00306E3F">
        <w:trPr>
          <w:trHeight w:val="3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6307787B"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noWrap/>
            <w:vAlign w:val="center"/>
            <w:hideMark/>
          </w:tcPr>
          <w:p w14:paraId="30A5E4DF"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4.3</w:t>
            </w:r>
          </w:p>
        </w:tc>
        <w:tc>
          <w:tcPr>
            <w:tcW w:w="1701" w:type="dxa"/>
            <w:tcBorders>
              <w:top w:val="nil"/>
              <w:left w:val="nil"/>
              <w:bottom w:val="single" w:sz="4" w:space="0" w:color="auto"/>
              <w:right w:val="single" w:sz="4" w:space="0" w:color="auto"/>
            </w:tcBorders>
            <w:shd w:val="clear" w:color="auto" w:fill="auto"/>
            <w:noWrap/>
            <w:vAlign w:val="center"/>
            <w:hideMark/>
          </w:tcPr>
          <w:p w14:paraId="6749FED9"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1CC2C1BF"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The suffering of the patient with oncological pain must be systematically assessed and accompaniment promoted.</w:t>
            </w:r>
          </w:p>
        </w:tc>
        <w:tc>
          <w:tcPr>
            <w:tcW w:w="2672" w:type="dxa"/>
            <w:tcBorders>
              <w:top w:val="nil"/>
              <w:left w:val="nil"/>
              <w:bottom w:val="single" w:sz="4" w:space="0" w:color="auto"/>
              <w:right w:val="single" w:sz="8" w:space="0" w:color="auto"/>
            </w:tcBorders>
            <w:shd w:val="clear" w:color="auto" w:fill="auto"/>
            <w:vAlign w:val="center"/>
            <w:hideMark/>
          </w:tcPr>
          <w:p w14:paraId="768F79FA"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7947517F"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100%</w:t>
            </w:r>
          </w:p>
        </w:tc>
      </w:tr>
      <w:tr w:rsidR="00452765" w:rsidRPr="00051372" w14:paraId="49639B18" w14:textId="77777777" w:rsidTr="00306E3F">
        <w:trPr>
          <w:trHeight w:val="615"/>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02C73E3D"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8" w:space="0" w:color="auto"/>
              <w:right w:val="single" w:sz="4" w:space="0" w:color="auto"/>
            </w:tcBorders>
            <w:shd w:val="clear" w:color="auto" w:fill="auto"/>
            <w:noWrap/>
            <w:vAlign w:val="center"/>
            <w:hideMark/>
          </w:tcPr>
          <w:p w14:paraId="30AB69B3"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4.4</w:t>
            </w:r>
          </w:p>
        </w:tc>
        <w:tc>
          <w:tcPr>
            <w:tcW w:w="1701" w:type="dxa"/>
            <w:tcBorders>
              <w:top w:val="nil"/>
              <w:left w:val="nil"/>
              <w:bottom w:val="single" w:sz="8" w:space="0" w:color="auto"/>
              <w:right w:val="single" w:sz="4" w:space="0" w:color="auto"/>
            </w:tcBorders>
            <w:shd w:val="clear" w:color="auto" w:fill="auto"/>
            <w:noWrap/>
            <w:vAlign w:val="center"/>
            <w:hideMark/>
          </w:tcPr>
          <w:p w14:paraId="3B02D311"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8" w:space="0" w:color="auto"/>
              <w:right w:val="single" w:sz="4" w:space="0" w:color="auto"/>
            </w:tcBorders>
            <w:shd w:val="clear" w:color="auto" w:fill="auto"/>
            <w:vAlign w:val="center"/>
            <w:hideMark/>
          </w:tcPr>
          <w:p w14:paraId="76681840"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The patient must be informed of the basic functions of the palliative care service.</w:t>
            </w:r>
          </w:p>
        </w:tc>
        <w:tc>
          <w:tcPr>
            <w:tcW w:w="2672" w:type="dxa"/>
            <w:tcBorders>
              <w:top w:val="nil"/>
              <w:left w:val="nil"/>
              <w:bottom w:val="single" w:sz="8" w:space="0" w:color="auto"/>
              <w:right w:val="single" w:sz="8" w:space="0" w:color="auto"/>
            </w:tcBorders>
            <w:shd w:val="clear" w:color="auto" w:fill="auto"/>
            <w:vAlign w:val="center"/>
          </w:tcPr>
          <w:p w14:paraId="127750BB"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Medical record, information sheets, health education activities.</w:t>
            </w:r>
          </w:p>
        </w:tc>
        <w:tc>
          <w:tcPr>
            <w:tcW w:w="1290" w:type="dxa"/>
            <w:tcBorders>
              <w:top w:val="nil"/>
              <w:left w:val="nil"/>
              <w:bottom w:val="single" w:sz="8" w:space="0" w:color="auto"/>
              <w:right w:val="single" w:sz="8" w:space="0" w:color="auto"/>
            </w:tcBorders>
          </w:tcPr>
          <w:p w14:paraId="0660C49E"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87.5%</w:t>
            </w:r>
          </w:p>
        </w:tc>
      </w:tr>
      <w:tr w:rsidR="00452765" w:rsidRPr="008005F4" w14:paraId="40219466" w14:textId="77777777" w:rsidTr="00306E3F">
        <w:trPr>
          <w:trHeight w:val="600"/>
        </w:trPr>
        <w:tc>
          <w:tcPr>
            <w:tcW w:w="834"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14:paraId="0D41BC51" w14:textId="77777777" w:rsidR="00452765" w:rsidRPr="008005F4" w:rsidRDefault="00452765" w:rsidP="00627EE3">
            <w:pPr>
              <w:spacing w:after="0" w:line="360" w:lineRule="auto"/>
              <w:jc w:val="center"/>
              <w:rPr>
                <w:rFonts w:ascii="Times New Roman" w:eastAsia="Times New Roman" w:hAnsi="Times New Roman" w:cs="Times New Roman"/>
                <w:b/>
                <w:bCs/>
                <w:lang w:val="en-US" w:eastAsia="es-ES"/>
              </w:rPr>
            </w:pPr>
            <w:r w:rsidRPr="008005F4">
              <w:rPr>
                <w:rFonts w:ascii="Times New Roman" w:eastAsia="Times New Roman" w:hAnsi="Times New Roman" w:cs="Times New Roman"/>
                <w:b/>
                <w:bCs/>
                <w:lang w:val="en-US" w:eastAsia="es-ES"/>
              </w:rPr>
              <w:t>5.Coordination</w:t>
            </w:r>
          </w:p>
        </w:tc>
        <w:tc>
          <w:tcPr>
            <w:tcW w:w="568" w:type="dxa"/>
            <w:tcBorders>
              <w:top w:val="nil"/>
              <w:left w:val="nil"/>
              <w:bottom w:val="single" w:sz="4" w:space="0" w:color="auto"/>
              <w:right w:val="single" w:sz="4" w:space="0" w:color="auto"/>
            </w:tcBorders>
            <w:shd w:val="clear" w:color="auto" w:fill="auto"/>
            <w:noWrap/>
            <w:vAlign w:val="center"/>
            <w:hideMark/>
          </w:tcPr>
          <w:p w14:paraId="2DE225AD"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5.1</w:t>
            </w:r>
          </w:p>
        </w:tc>
        <w:tc>
          <w:tcPr>
            <w:tcW w:w="1701" w:type="dxa"/>
            <w:tcBorders>
              <w:top w:val="nil"/>
              <w:left w:val="nil"/>
              <w:bottom w:val="single" w:sz="4" w:space="0" w:color="auto"/>
              <w:right w:val="single" w:sz="4" w:space="0" w:color="auto"/>
            </w:tcBorders>
            <w:shd w:val="clear" w:color="auto" w:fill="auto"/>
            <w:noWrap/>
            <w:vAlign w:val="center"/>
            <w:hideMark/>
          </w:tcPr>
          <w:p w14:paraId="57CC24CE"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Essential</w:t>
            </w:r>
          </w:p>
        </w:tc>
        <w:tc>
          <w:tcPr>
            <w:tcW w:w="8143" w:type="dxa"/>
            <w:tcBorders>
              <w:top w:val="nil"/>
              <w:left w:val="nil"/>
              <w:bottom w:val="single" w:sz="4" w:space="0" w:color="auto"/>
              <w:right w:val="single" w:sz="4" w:space="0" w:color="auto"/>
            </w:tcBorders>
            <w:shd w:val="clear" w:color="auto" w:fill="auto"/>
            <w:noWrap/>
            <w:vAlign w:val="center"/>
            <w:hideMark/>
          </w:tcPr>
          <w:p w14:paraId="4DACCD33"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Criteria for prioritizing cancer patients for care in pain units should be established.</w:t>
            </w:r>
          </w:p>
        </w:tc>
        <w:tc>
          <w:tcPr>
            <w:tcW w:w="2672" w:type="dxa"/>
            <w:tcBorders>
              <w:top w:val="nil"/>
              <w:left w:val="nil"/>
              <w:bottom w:val="single" w:sz="4" w:space="0" w:color="auto"/>
              <w:right w:val="single" w:sz="8" w:space="0" w:color="auto"/>
            </w:tcBorders>
            <w:shd w:val="clear" w:color="auto" w:fill="auto"/>
            <w:vAlign w:val="center"/>
          </w:tcPr>
          <w:p w14:paraId="7948F99C"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Medical record.</w:t>
            </w:r>
          </w:p>
        </w:tc>
        <w:tc>
          <w:tcPr>
            <w:tcW w:w="1290" w:type="dxa"/>
            <w:tcBorders>
              <w:top w:val="nil"/>
              <w:left w:val="nil"/>
              <w:bottom w:val="single" w:sz="4" w:space="0" w:color="auto"/>
              <w:right w:val="single" w:sz="8" w:space="0" w:color="auto"/>
            </w:tcBorders>
          </w:tcPr>
          <w:p w14:paraId="7F9CDEF0"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87.5%</w:t>
            </w:r>
          </w:p>
        </w:tc>
      </w:tr>
      <w:tr w:rsidR="00452765" w:rsidRPr="00051372" w14:paraId="7DFFA3FD" w14:textId="77777777" w:rsidTr="00306E3F">
        <w:trPr>
          <w:trHeight w:val="6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6346E698"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vAlign w:val="center"/>
            <w:hideMark/>
          </w:tcPr>
          <w:p w14:paraId="32093162"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5.2</w:t>
            </w:r>
          </w:p>
        </w:tc>
        <w:tc>
          <w:tcPr>
            <w:tcW w:w="1701" w:type="dxa"/>
            <w:tcBorders>
              <w:top w:val="nil"/>
              <w:left w:val="nil"/>
              <w:bottom w:val="single" w:sz="4" w:space="0" w:color="auto"/>
              <w:right w:val="single" w:sz="4" w:space="0" w:color="auto"/>
            </w:tcBorders>
            <w:shd w:val="clear" w:color="auto" w:fill="auto"/>
            <w:noWrap/>
            <w:vAlign w:val="center"/>
            <w:hideMark/>
          </w:tcPr>
          <w:p w14:paraId="25B8401D"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28806543"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Patient information should be provided about the Pain Unit, its portfolio of services, accessibility and the strategy designed for the care of patients with chronic oncological pain in a proactive manner.</w:t>
            </w:r>
          </w:p>
        </w:tc>
        <w:tc>
          <w:tcPr>
            <w:tcW w:w="2672" w:type="dxa"/>
            <w:tcBorders>
              <w:top w:val="nil"/>
              <w:left w:val="nil"/>
              <w:bottom w:val="single" w:sz="4" w:space="0" w:color="auto"/>
              <w:right w:val="single" w:sz="8" w:space="0" w:color="auto"/>
            </w:tcBorders>
            <w:shd w:val="clear" w:color="auto" w:fill="auto"/>
            <w:vAlign w:val="center"/>
          </w:tcPr>
          <w:p w14:paraId="60B9952D"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Medical record, information sheets, health education activities.</w:t>
            </w:r>
          </w:p>
        </w:tc>
        <w:tc>
          <w:tcPr>
            <w:tcW w:w="1290" w:type="dxa"/>
            <w:tcBorders>
              <w:top w:val="nil"/>
              <w:left w:val="nil"/>
              <w:bottom w:val="single" w:sz="4" w:space="0" w:color="auto"/>
              <w:right w:val="single" w:sz="8" w:space="0" w:color="auto"/>
            </w:tcBorders>
          </w:tcPr>
          <w:p w14:paraId="4A9CD762"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62.5%</w:t>
            </w:r>
          </w:p>
        </w:tc>
      </w:tr>
      <w:tr w:rsidR="00452765" w:rsidRPr="008005F4" w14:paraId="22C97C24" w14:textId="77777777" w:rsidTr="00306E3F">
        <w:trPr>
          <w:trHeight w:val="3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5343157F"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bookmarkStart w:id="1" w:name="_Hlk54345911"/>
          </w:p>
        </w:tc>
        <w:tc>
          <w:tcPr>
            <w:tcW w:w="568" w:type="dxa"/>
            <w:tcBorders>
              <w:top w:val="nil"/>
              <w:left w:val="nil"/>
              <w:bottom w:val="single" w:sz="4" w:space="0" w:color="auto"/>
              <w:right w:val="single" w:sz="4" w:space="0" w:color="auto"/>
            </w:tcBorders>
            <w:shd w:val="clear" w:color="auto" w:fill="auto"/>
            <w:vAlign w:val="center"/>
            <w:hideMark/>
          </w:tcPr>
          <w:p w14:paraId="4F9C9B40"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5.3</w:t>
            </w:r>
          </w:p>
        </w:tc>
        <w:tc>
          <w:tcPr>
            <w:tcW w:w="1701" w:type="dxa"/>
            <w:tcBorders>
              <w:top w:val="nil"/>
              <w:left w:val="nil"/>
              <w:bottom w:val="single" w:sz="4" w:space="0" w:color="auto"/>
              <w:right w:val="single" w:sz="4" w:space="0" w:color="auto"/>
            </w:tcBorders>
            <w:shd w:val="clear" w:color="auto" w:fill="auto"/>
            <w:noWrap/>
            <w:vAlign w:val="center"/>
            <w:hideMark/>
          </w:tcPr>
          <w:p w14:paraId="45FCD897"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100DF9BE"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Different services c</w:t>
            </w:r>
            <w:r w:rsidRPr="008005F4">
              <w:rPr>
                <w:rFonts w:ascii="Times New Roman" w:eastAsia="Times New Roman" w:hAnsi="Times New Roman" w:cs="Times New Roman"/>
                <w:lang w:val="en-US" w:eastAsia="es-ES"/>
              </w:rPr>
              <w:t xml:space="preserve">onsultations should be </w:t>
            </w:r>
            <w:r>
              <w:rPr>
                <w:rFonts w:ascii="Times New Roman" w:eastAsia="Times New Roman" w:hAnsi="Times New Roman" w:cs="Times New Roman"/>
                <w:lang w:val="en-US" w:eastAsia="es-ES"/>
              </w:rPr>
              <w:t xml:space="preserve">scheduled the same day </w:t>
            </w:r>
            <w:r w:rsidRPr="008005F4">
              <w:rPr>
                <w:rFonts w:ascii="Times New Roman" w:eastAsia="Times New Roman" w:hAnsi="Times New Roman" w:cs="Times New Roman"/>
                <w:lang w:val="en-US" w:eastAsia="es-ES"/>
              </w:rPr>
              <w:t>to reduce the discomfort associated wit</w:t>
            </w:r>
            <w:r>
              <w:rPr>
                <w:rFonts w:ascii="Times New Roman" w:eastAsia="Times New Roman" w:hAnsi="Times New Roman" w:cs="Times New Roman"/>
                <w:lang w:val="en-US" w:eastAsia="es-ES"/>
              </w:rPr>
              <w:t>h waiting lists</w:t>
            </w:r>
            <w:r w:rsidRPr="008005F4">
              <w:rPr>
                <w:rFonts w:ascii="Times New Roman" w:eastAsia="Times New Roman" w:hAnsi="Times New Roman" w:cs="Times New Roman"/>
                <w:lang w:val="en-US" w:eastAsia="es-ES"/>
              </w:rPr>
              <w:t>.</w:t>
            </w:r>
          </w:p>
        </w:tc>
        <w:tc>
          <w:tcPr>
            <w:tcW w:w="2672" w:type="dxa"/>
            <w:tcBorders>
              <w:top w:val="nil"/>
              <w:left w:val="nil"/>
              <w:bottom w:val="single" w:sz="4" w:space="0" w:color="auto"/>
              <w:right w:val="single" w:sz="8" w:space="0" w:color="auto"/>
            </w:tcBorders>
            <w:shd w:val="clear" w:color="auto" w:fill="auto"/>
            <w:vAlign w:val="center"/>
          </w:tcPr>
          <w:p w14:paraId="03329C2F"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High intensity visits appointment.</w:t>
            </w:r>
          </w:p>
        </w:tc>
        <w:tc>
          <w:tcPr>
            <w:tcW w:w="1290" w:type="dxa"/>
            <w:tcBorders>
              <w:top w:val="nil"/>
              <w:left w:val="nil"/>
              <w:bottom w:val="single" w:sz="4" w:space="0" w:color="auto"/>
              <w:right w:val="single" w:sz="8" w:space="0" w:color="auto"/>
            </w:tcBorders>
          </w:tcPr>
          <w:p w14:paraId="479E665B"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50%</w:t>
            </w:r>
          </w:p>
        </w:tc>
      </w:tr>
      <w:bookmarkEnd w:id="1"/>
      <w:tr w:rsidR="00452765" w:rsidRPr="008005F4" w14:paraId="746E53BA" w14:textId="77777777" w:rsidTr="00306E3F">
        <w:trPr>
          <w:trHeight w:val="315"/>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26AC3BB5"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8" w:space="0" w:color="auto"/>
              <w:right w:val="single" w:sz="4" w:space="0" w:color="auto"/>
            </w:tcBorders>
            <w:shd w:val="clear" w:color="auto" w:fill="auto"/>
            <w:vAlign w:val="center"/>
            <w:hideMark/>
          </w:tcPr>
          <w:p w14:paraId="387B654C"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5.4</w:t>
            </w:r>
          </w:p>
        </w:tc>
        <w:tc>
          <w:tcPr>
            <w:tcW w:w="1701" w:type="dxa"/>
            <w:tcBorders>
              <w:top w:val="nil"/>
              <w:left w:val="nil"/>
              <w:bottom w:val="single" w:sz="8" w:space="0" w:color="auto"/>
              <w:right w:val="single" w:sz="4" w:space="0" w:color="auto"/>
            </w:tcBorders>
            <w:shd w:val="clear" w:color="auto" w:fill="auto"/>
            <w:noWrap/>
            <w:vAlign w:val="center"/>
            <w:hideMark/>
          </w:tcPr>
          <w:p w14:paraId="70E9E694"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8" w:space="0" w:color="auto"/>
              <w:right w:val="single" w:sz="4" w:space="0" w:color="auto"/>
            </w:tcBorders>
            <w:shd w:val="clear" w:color="auto" w:fill="auto"/>
            <w:vAlign w:val="center"/>
            <w:hideMark/>
          </w:tcPr>
          <w:p w14:paraId="583FB107"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A telephone follow-up plan should be established by calling the home of patients with cancer pain.</w:t>
            </w:r>
          </w:p>
        </w:tc>
        <w:tc>
          <w:tcPr>
            <w:tcW w:w="2672" w:type="dxa"/>
            <w:tcBorders>
              <w:top w:val="nil"/>
              <w:left w:val="nil"/>
              <w:bottom w:val="single" w:sz="8" w:space="0" w:color="auto"/>
              <w:right w:val="single" w:sz="8" w:space="0" w:color="auto"/>
            </w:tcBorders>
            <w:shd w:val="clear" w:color="auto" w:fill="auto"/>
            <w:vAlign w:val="center"/>
            <w:hideMark/>
          </w:tcPr>
          <w:p w14:paraId="1E773DB9"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8" w:space="0" w:color="auto"/>
              <w:right w:val="single" w:sz="8" w:space="0" w:color="auto"/>
            </w:tcBorders>
          </w:tcPr>
          <w:p w14:paraId="5F87B66D"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62.5%</w:t>
            </w:r>
          </w:p>
        </w:tc>
      </w:tr>
      <w:tr w:rsidR="00452765" w:rsidRPr="008005F4" w14:paraId="391CA4B6" w14:textId="77777777" w:rsidTr="00306E3F">
        <w:trPr>
          <w:trHeight w:val="900"/>
        </w:trPr>
        <w:tc>
          <w:tcPr>
            <w:tcW w:w="834"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14:paraId="478F087F" w14:textId="77777777" w:rsidR="00452765" w:rsidRPr="008005F4" w:rsidRDefault="00452765" w:rsidP="00627EE3">
            <w:pPr>
              <w:spacing w:after="0" w:line="360" w:lineRule="auto"/>
              <w:jc w:val="center"/>
              <w:rPr>
                <w:rFonts w:ascii="Times New Roman" w:eastAsia="Times New Roman" w:hAnsi="Times New Roman" w:cs="Times New Roman"/>
                <w:b/>
                <w:bCs/>
                <w:lang w:val="en-US" w:eastAsia="es-ES"/>
              </w:rPr>
            </w:pPr>
            <w:r w:rsidRPr="008005F4">
              <w:rPr>
                <w:rFonts w:ascii="Times New Roman" w:eastAsia="Times New Roman" w:hAnsi="Times New Roman" w:cs="Times New Roman"/>
                <w:b/>
                <w:bCs/>
                <w:lang w:val="en-US" w:eastAsia="es-ES"/>
              </w:rPr>
              <w:t>6.</w:t>
            </w:r>
            <w:r w:rsidRPr="008005F4">
              <w:rPr>
                <w:rFonts w:ascii="Times New Roman" w:hAnsi="Times New Roman" w:cs="Times New Roman"/>
                <w:lang w:val="en-US"/>
              </w:rPr>
              <w:t xml:space="preserve"> </w:t>
            </w:r>
            <w:r w:rsidRPr="008005F4">
              <w:rPr>
                <w:rFonts w:ascii="Times New Roman" w:eastAsia="Times New Roman" w:hAnsi="Times New Roman" w:cs="Times New Roman"/>
                <w:b/>
                <w:bCs/>
                <w:lang w:val="en-US" w:eastAsia="es-ES"/>
              </w:rPr>
              <w:t>Training, education, and research</w:t>
            </w:r>
          </w:p>
        </w:tc>
        <w:tc>
          <w:tcPr>
            <w:tcW w:w="568" w:type="dxa"/>
            <w:tcBorders>
              <w:top w:val="nil"/>
              <w:left w:val="nil"/>
              <w:bottom w:val="single" w:sz="4" w:space="0" w:color="auto"/>
              <w:right w:val="single" w:sz="4" w:space="0" w:color="auto"/>
            </w:tcBorders>
            <w:shd w:val="clear" w:color="auto" w:fill="auto"/>
            <w:vAlign w:val="center"/>
            <w:hideMark/>
          </w:tcPr>
          <w:p w14:paraId="5545C8C7"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6.1</w:t>
            </w:r>
          </w:p>
        </w:tc>
        <w:tc>
          <w:tcPr>
            <w:tcW w:w="1701" w:type="dxa"/>
            <w:tcBorders>
              <w:top w:val="nil"/>
              <w:left w:val="nil"/>
              <w:bottom w:val="single" w:sz="4" w:space="0" w:color="auto"/>
              <w:right w:val="single" w:sz="4" w:space="0" w:color="auto"/>
            </w:tcBorders>
            <w:shd w:val="clear" w:color="auto" w:fill="auto"/>
            <w:noWrap/>
            <w:vAlign w:val="center"/>
            <w:hideMark/>
          </w:tcPr>
          <w:p w14:paraId="71344F8F"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Essential</w:t>
            </w:r>
          </w:p>
        </w:tc>
        <w:tc>
          <w:tcPr>
            <w:tcW w:w="8143" w:type="dxa"/>
            <w:tcBorders>
              <w:top w:val="nil"/>
              <w:left w:val="nil"/>
              <w:bottom w:val="single" w:sz="4" w:space="0" w:color="auto"/>
              <w:right w:val="single" w:sz="4" w:space="0" w:color="auto"/>
            </w:tcBorders>
            <w:shd w:val="clear" w:color="auto" w:fill="auto"/>
            <w:vAlign w:val="center"/>
            <w:hideMark/>
          </w:tcPr>
          <w:p w14:paraId="7EDD15E9"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In order to guarantee equity and access to the best treatment and follow-up regardless of the patient's location, training, information and integration into the team of the doctor and nurse of the Primary Care team will be promoted to ensure maximum accessibility and continuity of care for the patient and his or her family.</w:t>
            </w:r>
          </w:p>
        </w:tc>
        <w:tc>
          <w:tcPr>
            <w:tcW w:w="2672" w:type="dxa"/>
            <w:tcBorders>
              <w:top w:val="nil"/>
              <w:left w:val="nil"/>
              <w:bottom w:val="single" w:sz="4" w:space="0" w:color="auto"/>
              <w:right w:val="single" w:sz="8" w:space="0" w:color="auto"/>
            </w:tcBorders>
            <w:shd w:val="clear" w:color="auto" w:fill="auto"/>
            <w:vAlign w:val="center"/>
          </w:tcPr>
          <w:p w14:paraId="029E7A51"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Medical record.</w:t>
            </w:r>
          </w:p>
        </w:tc>
        <w:tc>
          <w:tcPr>
            <w:tcW w:w="1290" w:type="dxa"/>
            <w:tcBorders>
              <w:top w:val="nil"/>
              <w:left w:val="nil"/>
              <w:bottom w:val="single" w:sz="4" w:space="0" w:color="auto"/>
              <w:right w:val="single" w:sz="8" w:space="0" w:color="auto"/>
            </w:tcBorders>
          </w:tcPr>
          <w:p w14:paraId="14C733D8"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75%</w:t>
            </w:r>
          </w:p>
        </w:tc>
      </w:tr>
      <w:tr w:rsidR="00452765" w:rsidRPr="00051372" w14:paraId="28414DA5" w14:textId="77777777" w:rsidTr="00306E3F">
        <w:trPr>
          <w:trHeight w:val="6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1AE7B04A"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vAlign w:val="center"/>
            <w:hideMark/>
          </w:tcPr>
          <w:p w14:paraId="4562B603"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6.2</w:t>
            </w:r>
          </w:p>
        </w:tc>
        <w:tc>
          <w:tcPr>
            <w:tcW w:w="1701" w:type="dxa"/>
            <w:tcBorders>
              <w:top w:val="nil"/>
              <w:left w:val="nil"/>
              <w:bottom w:val="single" w:sz="4" w:space="0" w:color="auto"/>
              <w:right w:val="single" w:sz="4" w:space="0" w:color="auto"/>
            </w:tcBorders>
            <w:shd w:val="clear" w:color="auto" w:fill="auto"/>
            <w:noWrap/>
            <w:vAlign w:val="center"/>
            <w:hideMark/>
          </w:tcPr>
          <w:p w14:paraId="76ED7497"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0E9ECD74"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The participation of professionals in courses related to the communication of bad news, the development of empathic acuity and shared decision making should be encouraged.</w:t>
            </w:r>
          </w:p>
        </w:tc>
        <w:tc>
          <w:tcPr>
            <w:tcW w:w="2672" w:type="dxa"/>
            <w:tcBorders>
              <w:top w:val="nil"/>
              <w:left w:val="nil"/>
              <w:bottom w:val="single" w:sz="4" w:space="0" w:color="auto"/>
              <w:right w:val="single" w:sz="8" w:space="0" w:color="auto"/>
            </w:tcBorders>
            <w:shd w:val="clear" w:color="auto" w:fill="auto"/>
            <w:vAlign w:val="center"/>
          </w:tcPr>
          <w:p w14:paraId="7D3C93B5"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Service´s continuing training record.</w:t>
            </w:r>
          </w:p>
        </w:tc>
        <w:tc>
          <w:tcPr>
            <w:tcW w:w="1290" w:type="dxa"/>
            <w:tcBorders>
              <w:top w:val="nil"/>
              <w:left w:val="nil"/>
              <w:bottom w:val="single" w:sz="4" w:space="0" w:color="auto"/>
              <w:right w:val="single" w:sz="8" w:space="0" w:color="auto"/>
            </w:tcBorders>
          </w:tcPr>
          <w:p w14:paraId="17FB8C47"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87.5%</w:t>
            </w:r>
          </w:p>
        </w:tc>
      </w:tr>
      <w:tr w:rsidR="00452765" w:rsidRPr="008005F4" w14:paraId="31CA495E" w14:textId="77777777" w:rsidTr="00306E3F">
        <w:trPr>
          <w:trHeight w:val="3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6C4C8237"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vAlign w:val="center"/>
            <w:hideMark/>
          </w:tcPr>
          <w:p w14:paraId="4E2C5890"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6.3</w:t>
            </w:r>
          </w:p>
        </w:tc>
        <w:tc>
          <w:tcPr>
            <w:tcW w:w="1701" w:type="dxa"/>
            <w:tcBorders>
              <w:top w:val="nil"/>
              <w:left w:val="nil"/>
              <w:bottom w:val="single" w:sz="4" w:space="0" w:color="auto"/>
              <w:right w:val="single" w:sz="4" w:space="0" w:color="auto"/>
            </w:tcBorders>
            <w:shd w:val="clear" w:color="auto" w:fill="auto"/>
            <w:noWrap/>
            <w:vAlign w:val="center"/>
            <w:hideMark/>
          </w:tcPr>
          <w:p w14:paraId="164E6B66"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597AEEC9"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Actions should be taken to prevent burnout among professionals.</w:t>
            </w:r>
          </w:p>
        </w:tc>
        <w:tc>
          <w:tcPr>
            <w:tcW w:w="2672" w:type="dxa"/>
            <w:tcBorders>
              <w:top w:val="nil"/>
              <w:left w:val="nil"/>
              <w:bottom w:val="single" w:sz="4" w:space="0" w:color="auto"/>
              <w:right w:val="single" w:sz="8" w:space="0" w:color="auto"/>
            </w:tcBorders>
            <w:shd w:val="clear" w:color="auto" w:fill="auto"/>
            <w:vAlign w:val="center"/>
            <w:hideMark/>
          </w:tcPr>
          <w:p w14:paraId="5C2780D7"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Service activity log.</w:t>
            </w:r>
          </w:p>
        </w:tc>
        <w:tc>
          <w:tcPr>
            <w:tcW w:w="1290" w:type="dxa"/>
            <w:tcBorders>
              <w:top w:val="nil"/>
              <w:left w:val="nil"/>
              <w:bottom w:val="single" w:sz="4" w:space="0" w:color="auto"/>
              <w:right w:val="single" w:sz="8" w:space="0" w:color="auto"/>
            </w:tcBorders>
          </w:tcPr>
          <w:p w14:paraId="7286A08E"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25%</w:t>
            </w:r>
          </w:p>
        </w:tc>
      </w:tr>
      <w:tr w:rsidR="00452765" w:rsidRPr="00051372" w14:paraId="14CA885B" w14:textId="77777777" w:rsidTr="00306E3F">
        <w:trPr>
          <w:trHeight w:val="9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386D76A3"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vAlign w:val="center"/>
            <w:hideMark/>
          </w:tcPr>
          <w:p w14:paraId="5A6D1CBC"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6.4</w:t>
            </w:r>
          </w:p>
        </w:tc>
        <w:tc>
          <w:tcPr>
            <w:tcW w:w="1701" w:type="dxa"/>
            <w:tcBorders>
              <w:top w:val="nil"/>
              <w:left w:val="nil"/>
              <w:bottom w:val="single" w:sz="4" w:space="0" w:color="auto"/>
              <w:right w:val="single" w:sz="4" w:space="0" w:color="auto"/>
            </w:tcBorders>
            <w:shd w:val="clear" w:color="auto" w:fill="auto"/>
            <w:noWrap/>
            <w:vAlign w:val="center"/>
            <w:hideMark/>
          </w:tcPr>
          <w:p w14:paraId="26F44A1D"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tcPr>
          <w:p w14:paraId="04CC1102"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The Pain Unit should participate in the development of new treatments and advances in the improvement of therapeutic effectiveness in the management of oncological pain, participating in research projects and clinical trials with direct translation to clinical practice.</w:t>
            </w:r>
          </w:p>
        </w:tc>
        <w:tc>
          <w:tcPr>
            <w:tcW w:w="2672" w:type="dxa"/>
            <w:tcBorders>
              <w:top w:val="nil"/>
              <w:left w:val="nil"/>
              <w:bottom w:val="single" w:sz="4" w:space="0" w:color="auto"/>
              <w:right w:val="single" w:sz="8" w:space="0" w:color="auto"/>
            </w:tcBorders>
            <w:shd w:val="clear" w:color="auto" w:fill="auto"/>
            <w:vAlign w:val="center"/>
          </w:tcPr>
          <w:p w14:paraId="23B51E5E"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Publications, accreditations, communications or any participation of the service in the scientific field.</w:t>
            </w:r>
          </w:p>
        </w:tc>
        <w:tc>
          <w:tcPr>
            <w:tcW w:w="1290" w:type="dxa"/>
            <w:tcBorders>
              <w:top w:val="nil"/>
              <w:left w:val="nil"/>
              <w:bottom w:val="single" w:sz="4" w:space="0" w:color="auto"/>
              <w:right w:val="single" w:sz="8" w:space="0" w:color="auto"/>
            </w:tcBorders>
          </w:tcPr>
          <w:p w14:paraId="765ACF2A"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50%</w:t>
            </w:r>
          </w:p>
        </w:tc>
      </w:tr>
      <w:tr w:rsidR="00452765" w:rsidRPr="008005F4" w14:paraId="5BBCE117" w14:textId="77777777" w:rsidTr="00306E3F">
        <w:trPr>
          <w:trHeight w:val="315"/>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38DDB58B"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8" w:space="0" w:color="auto"/>
              <w:right w:val="single" w:sz="4" w:space="0" w:color="auto"/>
            </w:tcBorders>
            <w:shd w:val="clear" w:color="auto" w:fill="auto"/>
            <w:vAlign w:val="center"/>
            <w:hideMark/>
          </w:tcPr>
          <w:p w14:paraId="2C8A6EF6"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6.5</w:t>
            </w:r>
          </w:p>
        </w:tc>
        <w:tc>
          <w:tcPr>
            <w:tcW w:w="1701" w:type="dxa"/>
            <w:tcBorders>
              <w:top w:val="nil"/>
              <w:left w:val="nil"/>
              <w:bottom w:val="single" w:sz="8" w:space="0" w:color="auto"/>
              <w:right w:val="single" w:sz="4" w:space="0" w:color="auto"/>
            </w:tcBorders>
            <w:shd w:val="clear" w:color="auto" w:fill="auto"/>
            <w:noWrap/>
            <w:vAlign w:val="center"/>
            <w:hideMark/>
          </w:tcPr>
          <w:p w14:paraId="55CFA88F"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8" w:space="0" w:color="auto"/>
              <w:right w:val="single" w:sz="4" w:space="0" w:color="auto"/>
            </w:tcBorders>
            <w:shd w:val="clear" w:color="auto" w:fill="auto"/>
            <w:vAlign w:val="center"/>
            <w:hideMark/>
          </w:tcPr>
          <w:p w14:paraId="1A8263F2"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Training stays for professionals dealing with oncological pain treatment should be assessed.</w:t>
            </w:r>
          </w:p>
        </w:tc>
        <w:tc>
          <w:tcPr>
            <w:tcW w:w="2672" w:type="dxa"/>
            <w:tcBorders>
              <w:top w:val="nil"/>
              <w:left w:val="nil"/>
              <w:bottom w:val="single" w:sz="8" w:space="0" w:color="auto"/>
              <w:right w:val="single" w:sz="8" w:space="0" w:color="auto"/>
            </w:tcBorders>
            <w:shd w:val="clear" w:color="auto" w:fill="auto"/>
            <w:vAlign w:val="center"/>
            <w:hideMark/>
          </w:tcPr>
          <w:p w14:paraId="17410745"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Medical resident’s rotation record.</w:t>
            </w:r>
          </w:p>
        </w:tc>
        <w:tc>
          <w:tcPr>
            <w:tcW w:w="1290" w:type="dxa"/>
            <w:tcBorders>
              <w:top w:val="nil"/>
              <w:left w:val="nil"/>
              <w:bottom w:val="single" w:sz="8" w:space="0" w:color="auto"/>
              <w:right w:val="single" w:sz="8" w:space="0" w:color="auto"/>
            </w:tcBorders>
          </w:tcPr>
          <w:p w14:paraId="34C09911"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75%</w:t>
            </w:r>
          </w:p>
        </w:tc>
      </w:tr>
      <w:tr w:rsidR="00452765" w:rsidRPr="008005F4" w14:paraId="6B5820B5" w14:textId="77777777" w:rsidTr="00306E3F">
        <w:trPr>
          <w:trHeight w:val="900"/>
        </w:trPr>
        <w:tc>
          <w:tcPr>
            <w:tcW w:w="834"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781406DE" w14:textId="77777777" w:rsidR="00452765" w:rsidRPr="008005F4" w:rsidRDefault="00452765" w:rsidP="00627EE3">
            <w:pPr>
              <w:spacing w:after="0" w:line="360" w:lineRule="auto"/>
              <w:jc w:val="center"/>
              <w:rPr>
                <w:rFonts w:ascii="Times New Roman" w:eastAsia="Times New Roman" w:hAnsi="Times New Roman" w:cs="Times New Roman"/>
                <w:b/>
                <w:bCs/>
                <w:lang w:val="en-US" w:eastAsia="es-ES"/>
              </w:rPr>
            </w:pPr>
            <w:r w:rsidRPr="008005F4">
              <w:rPr>
                <w:rFonts w:ascii="Times New Roman" w:eastAsia="Times New Roman" w:hAnsi="Times New Roman" w:cs="Times New Roman"/>
                <w:b/>
                <w:bCs/>
                <w:lang w:val="en-US" w:eastAsia="es-ES"/>
              </w:rPr>
              <w:t>7.</w:t>
            </w:r>
            <w:r w:rsidRPr="008005F4">
              <w:rPr>
                <w:rFonts w:ascii="Times New Roman" w:hAnsi="Times New Roman" w:cs="Times New Roman"/>
                <w:lang w:val="en-US"/>
              </w:rPr>
              <w:t xml:space="preserve"> </w:t>
            </w:r>
            <w:r w:rsidRPr="008005F4">
              <w:rPr>
                <w:rFonts w:ascii="Times New Roman" w:eastAsia="Times New Roman" w:hAnsi="Times New Roman" w:cs="Times New Roman"/>
                <w:b/>
                <w:bCs/>
                <w:lang w:val="en-US" w:eastAsia="es-ES"/>
              </w:rPr>
              <w:t>Patient Safety</w:t>
            </w:r>
          </w:p>
        </w:tc>
        <w:tc>
          <w:tcPr>
            <w:tcW w:w="568" w:type="dxa"/>
            <w:tcBorders>
              <w:top w:val="nil"/>
              <w:left w:val="nil"/>
              <w:bottom w:val="single" w:sz="4" w:space="0" w:color="auto"/>
              <w:right w:val="single" w:sz="4" w:space="0" w:color="auto"/>
            </w:tcBorders>
            <w:shd w:val="clear" w:color="auto" w:fill="auto"/>
            <w:noWrap/>
            <w:vAlign w:val="center"/>
            <w:hideMark/>
          </w:tcPr>
          <w:p w14:paraId="335878D9"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7.1</w:t>
            </w:r>
          </w:p>
        </w:tc>
        <w:tc>
          <w:tcPr>
            <w:tcW w:w="1701" w:type="dxa"/>
            <w:tcBorders>
              <w:top w:val="nil"/>
              <w:left w:val="nil"/>
              <w:bottom w:val="single" w:sz="4" w:space="0" w:color="auto"/>
              <w:right w:val="single" w:sz="4" w:space="0" w:color="auto"/>
            </w:tcBorders>
            <w:shd w:val="clear" w:color="auto" w:fill="auto"/>
            <w:noWrap/>
            <w:vAlign w:val="center"/>
            <w:hideMark/>
          </w:tcPr>
          <w:p w14:paraId="6420DC98"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Essential</w:t>
            </w:r>
          </w:p>
        </w:tc>
        <w:tc>
          <w:tcPr>
            <w:tcW w:w="8143" w:type="dxa"/>
            <w:tcBorders>
              <w:top w:val="nil"/>
              <w:left w:val="nil"/>
              <w:bottom w:val="single" w:sz="4" w:space="0" w:color="auto"/>
              <w:right w:val="single" w:sz="4" w:space="0" w:color="auto"/>
            </w:tcBorders>
            <w:shd w:val="clear" w:color="auto" w:fill="auto"/>
            <w:vAlign w:val="center"/>
            <w:hideMark/>
          </w:tcPr>
          <w:p w14:paraId="5BBBA329"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The occurrence of adverse events (and near misses) in patients with therapeutic guidelines for somatic, visceral, neuropathic, breakthrough pain should be systematically recorded and </w:t>
            </w:r>
            <w:proofErr w:type="spellStart"/>
            <w:r w:rsidRPr="008005F4">
              <w:rPr>
                <w:rFonts w:ascii="Times New Roman" w:eastAsia="Times New Roman" w:hAnsi="Times New Roman" w:cs="Times New Roman"/>
                <w:lang w:val="en-US" w:eastAsia="es-ES"/>
              </w:rPr>
              <w:t>analysed</w:t>
            </w:r>
            <w:proofErr w:type="spellEnd"/>
            <w:r w:rsidRPr="008005F4">
              <w:rPr>
                <w:rFonts w:ascii="Times New Roman" w:eastAsia="Times New Roman" w:hAnsi="Times New Roman" w:cs="Times New Roman"/>
                <w:lang w:val="en-US" w:eastAsia="es-ES"/>
              </w:rPr>
              <w:t>.</w:t>
            </w:r>
          </w:p>
        </w:tc>
        <w:tc>
          <w:tcPr>
            <w:tcW w:w="2672" w:type="dxa"/>
            <w:tcBorders>
              <w:top w:val="nil"/>
              <w:left w:val="nil"/>
              <w:bottom w:val="single" w:sz="4" w:space="0" w:color="auto"/>
              <w:right w:val="single" w:sz="8" w:space="0" w:color="auto"/>
            </w:tcBorders>
            <w:shd w:val="clear" w:color="auto" w:fill="auto"/>
            <w:vAlign w:val="center"/>
            <w:hideMark/>
          </w:tcPr>
          <w:p w14:paraId="486F43F8"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6F8F6665"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87.5%</w:t>
            </w:r>
          </w:p>
        </w:tc>
      </w:tr>
      <w:tr w:rsidR="00452765" w:rsidRPr="00051372" w14:paraId="6D03F6DC" w14:textId="77777777" w:rsidTr="00306E3F">
        <w:trPr>
          <w:trHeight w:val="6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2EEBAEE0"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noWrap/>
            <w:vAlign w:val="center"/>
            <w:hideMark/>
          </w:tcPr>
          <w:p w14:paraId="22A0893D"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7.2</w:t>
            </w:r>
          </w:p>
        </w:tc>
        <w:tc>
          <w:tcPr>
            <w:tcW w:w="1701" w:type="dxa"/>
            <w:tcBorders>
              <w:top w:val="nil"/>
              <w:left w:val="nil"/>
              <w:bottom w:val="single" w:sz="4" w:space="0" w:color="auto"/>
              <w:right w:val="single" w:sz="4" w:space="0" w:color="auto"/>
            </w:tcBorders>
            <w:shd w:val="clear" w:color="auto" w:fill="auto"/>
            <w:noWrap/>
            <w:vAlign w:val="center"/>
            <w:hideMark/>
          </w:tcPr>
          <w:p w14:paraId="03BDB60A"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1FFD5F0C"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There should be guidelines for safe use of the medication. Patients should actively participate in their care and should be informed about possible errors at home related to the painkillers they have been prescribed.</w:t>
            </w:r>
          </w:p>
        </w:tc>
        <w:tc>
          <w:tcPr>
            <w:tcW w:w="2672" w:type="dxa"/>
            <w:tcBorders>
              <w:top w:val="nil"/>
              <w:left w:val="nil"/>
              <w:bottom w:val="single" w:sz="4" w:space="0" w:color="auto"/>
              <w:right w:val="single" w:sz="8" w:space="0" w:color="auto"/>
            </w:tcBorders>
            <w:shd w:val="clear" w:color="auto" w:fill="auto"/>
            <w:vAlign w:val="center"/>
            <w:hideMark/>
          </w:tcPr>
          <w:p w14:paraId="563418CA"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Medical record, information sheets, health education activities.</w:t>
            </w:r>
          </w:p>
        </w:tc>
        <w:tc>
          <w:tcPr>
            <w:tcW w:w="1290" w:type="dxa"/>
            <w:tcBorders>
              <w:top w:val="nil"/>
              <w:left w:val="nil"/>
              <w:bottom w:val="single" w:sz="4" w:space="0" w:color="auto"/>
              <w:right w:val="single" w:sz="8" w:space="0" w:color="auto"/>
            </w:tcBorders>
          </w:tcPr>
          <w:p w14:paraId="27A7D786"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100%</w:t>
            </w:r>
          </w:p>
        </w:tc>
      </w:tr>
      <w:tr w:rsidR="00452765" w:rsidRPr="008005F4" w14:paraId="4E227B43" w14:textId="77777777" w:rsidTr="00306E3F">
        <w:trPr>
          <w:trHeight w:val="3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4C224531"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noWrap/>
            <w:vAlign w:val="center"/>
            <w:hideMark/>
          </w:tcPr>
          <w:p w14:paraId="59C53899"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7.3</w:t>
            </w:r>
          </w:p>
        </w:tc>
        <w:tc>
          <w:tcPr>
            <w:tcW w:w="1701" w:type="dxa"/>
            <w:tcBorders>
              <w:top w:val="nil"/>
              <w:left w:val="nil"/>
              <w:bottom w:val="single" w:sz="4" w:space="0" w:color="auto"/>
              <w:right w:val="single" w:sz="4" w:space="0" w:color="auto"/>
            </w:tcBorders>
            <w:shd w:val="clear" w:color="auto" w:fill="auto"/>
            <w:noWrap/>
            <w:vAlign w:val="center"/>
            <w:hideMark/>
          </w:tcPr>
          <w:p w14:paraId="7E193093"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2769864B"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Monitoring of drug interactions that may adversely affect the patient should be carried out.</w:t>
            </w:r>
          </w:p>
        </w:tc>
        <w:tc>
          <w:tcPr>
            <w:tcW w:w="2672" w:type="dxa"/>
            <w:tcBorders>
              <w:top w:val="nil"/>
              <w:left w:val="nil"/>
              <w:bottom w:val="single" w:sz="4" w:space="0" w:color="auto"/>
              <w:right w:val="single" w:sz="8" w:space="0" w:color="auto"/>
            </w:tcBorders>
            <w:shd w:val="clear" w:color="auto" w:fill="auto"/>
            <w:vAlign w:val="center"/>
            <w:hideMark/>
          </w:tcPr>
          <w:p w14:paraId="1651ADB6"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5681D703"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100%</w:t>
            </w:r>
          </w:p>
        </w:tc>
      </w:tr>
      <w:tr w:rsidR="00452765" w:rsidRPr="00051372" w14:paraId="1BA16C18" w14:textId="77777777" w:rsidTr="00306E3F">
        <w:trPr>
          <w:trHeight w:val="6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1BDF85C5"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vAlign w:val="center"/>
            <w:hideMark/>
          </w:tcPr>
          <w:p w14:paraId="691B9488"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7.4</w:t>
            </w:r>
          </w:p>
        </w:tc>
        <w:tc>
          <w:tcPr>
            <w:tcW w:w="1701" w:type="dxa"/>
            <w:tcBorders>
              <w:top w:val="nil"/>
              <w:left w:val="nil"/>
              <w:bottom w:val="single" w:sz="4" w:space="0" w:color="auto"/>
              <w:right w:val="single" w:sz="4" w:space="0" w:color="auto"/>
            </w:tcBorders>
            <w:shd w:val="clear" w:color="auto" w:fill="auto"/>
            <w:noWrap/>
            <w:vAlign w:val="center"/>
            <w:hideMark/>
          </w:tcPr>
          <w:p w14:paraId="621E0790"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3514F734"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The adverse drug event reporting process should be used through the routes established by the AEMPS.</w:t>
            </w:r>
          </w:p>
        </w:tc>
        <w:tc>
          <w:tcPr>
            <w:tcW w:w="2672" w:type="dxa"/>
            <w:tcBorders>
              <w:top w:val="nil"/>
              <w:left w:val="nil"/>
              <w:bottom w:val="single" w:sz="4" w:space="0" w:color="auto"/>
              <w:right w:val="single" w:sz="8" w:space="0" w:color="auto"/>
            </w:tcBorders>
            <w:shd w:val="clear" w:color="auto" w:fill="auto"/>
            <w:vAlign w:val="center"/>
            <w:hideMark/>
          </w:tcPr>
          <w:p w14:paraId="005C6235"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Adverse events recorded through the AEMPS.</w:t>
            </w:r>
          </w:p>
        </w:tc>
        <w:tc>
          <w:tcPr>
            <w:tcW w:w="1290" w:type="dxa"/>
            <w:tcBorders>
              <w:top w:val="nil"/>
              <w:left w:val="nil"/>
              <w:bottom w:val="single" w:sz="4" w:space="0" w:color="auto"/>
              <w:right w:val="single" w:sz="8" w:space="0" w:color="auto"/>
            </w:tcBorders>
          </w:tcPr>
          <w:p w14:paraId="73303656"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87.5%</w:t>
            </w:r>
          </w:p>
        </w:tc>
      </w:tr>
      <w:tr w:rsidR="00452765" w:rsidRPr="00051372" w14:paraId="2F3E9454" w14:textId="77777777" w:rsidTr="00306E3F">
        <w:trPr>
          <w:trHeight w:val="12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1ABC9755"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vAlign w:val="center"/>
            <w:hideMark/>
          </w:tcPr>
          <w:p w14:paraId="50065DB6"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7.5</w:t>
            </w:r>
          </w:p>
        </w:tc>
        <w:tc>
          <w:tcPr>
            <w:tcW w:w="1701" w:type="dxa"/>
            <w:tcBorders>
              <w:top w:val="nil"/>
              <w:left w:val="nil"/>
              <w:bottom w:val="single" w:sz="4" w:space="0" w:color="auto"/>
              <w:right w:val="single" w:sz="4" w:space="0" w:color="auto"/>
            </w:tcBorders>
            <w:shd w:val="clear" w:color="auto" w:fill="auto"/>
            <w:noWrap/>
            <w:vAlign w:val="center"/>
            <w:hideMark/>
          </w:tcPr>
          <w:p w14:paraId="1F45F40C"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59B03D89"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To establish effective coordination with the Hospital and Therapeutic Pharmacy Service to promote the safe use of drugs through the review of analgesia, chemotherapy and adjuvant therapy protocols, as well as to guarantee the effective dispensing of drugs both at the hospital level and in the corresponding healthcare area.</w:t>
            </w:r>
          </w:p>
        </w:tc>
        <w:tc>
          <w:tcPr>
            <w:tcW w:w="2672" w:type="dxa"/>
            <w:tcBorders>
              <w:top w:val="nil"/>
              <w:left w:val="nil"/>
              <w:bottom w:val="single" w:sz="4" w:space="0" w:color="auto"/>
              <w:right w:val="single" w:sz="8" w:space="0" w:color="auto"/>
            </w:tcBorders>
            <w:shd w:val="clear" w:color="auto" w:fill="auto"/>
            <w:vAlign w:val="center"/>
            <w:hideMark/>
          </w:tcPr>
          <w:p w14:paraId="59358E0E"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Protocol for coordinated care between services for the chronic oncology patient</w:t>
            </w:r>
          </w:p>
        </w:tc>
        <w:tc>
          <w:tcPr>
            <w:tcW w:w="1290" w:type="dxa"/>
            <w:tcBorders>
              <w:top w:val="nil"/>
              <w:left w:val="nil"/>
              <w:bottom w:val="single" w:sz="4" w:space="0" w:color="auto"/>
              <w:right w:val="single" w:sz="8" w:space="0" w:color="auto"/>
            </w:tcBorders>
          </w:tcPr>
          <w:p w14:paraId="76978E64"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87.5%</w:t>
            </w:r>
          </w:p>
        </w:tc>
      </w:tr>
      <w:tr w:rsidR="00452765" w:rsidRPr="008005F4" w14:paraId="1D237127" w14:textId="77777777" w:rsidTr="00306E3F">
        <w:trPr>
          <w:trHeight w:val="615"/>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0ECD3A0D"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8" w:space="0" w:color="auto"/>
              <w:right w:val="single" w:sz="4" w:space="0" w:color="auto"/>
            </w:tcBorders>
            <w:shd w:val="clear" w:color="auto" w:fill="auto"/>
            <w:vAlign w:val="center"/>
            <w:hideMark/>
          </w:tcPr>
          <w:p w14:paraId="7238CEE6"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7.6</w:t>
            </w:r>
          </w:p>
        </w:tc>
        <w:tc>
          <w:tcPr>
            <w:tcW w:w="1701" w:type="dxa"/>
            <w:tcBorders>
              <w:top w:val="nil"/>
              <w:left w:val="nil"/>
              <w:bottom w:val="single" w:sz="8" w:space="0" w:color="auto"/>
              <w:right w:val="single" w:sz="4" w:space="0" w:color="auto"/>
            </w:tcBorders>
            <w:shd w:val="clear" w:color="auto" w:fill="auto"/>
            <w:noWrap/>
            <w:vAlign w:val="center"/>
            <w:hideMark/>
          </w:tcPr>
          <w:p w14:paraId="08664704"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8" w:space="0" w:color="auto"/>
              <w:right w:val="single" w:sz="4" w:space="0" w:color="auto"/>
            </w:tcBorders>
            <w:shd w:val="clear" w:color="auto" w:fill="auto"/>
            <w:vAlign w:val="center"/>
            <w:hideMark/>
          </w:tcPr>
          <w:p w14:paraId="56BF28DD"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The reasons for deciding not to follow the WHO pain management ladder should be recorded in the digital medical record.</w:t>
            </w:r>
          </w:p>
        </w:tc>
        <w:tc>
          <w:tcPr>
            <w:tcW w:w="2672" w:type="dxa"/>
            <w:tcBorders>
              <w:top w:val="nil"/>
              <w:left w:val="nil"/>
              <w:bottom w:val="single" w:sz="8" w:space="0" w:color="auto"/>
              <w:right w:val="single" w:sz="8" w:space="0" w:color="auto"/>
            </w:tcBorders>
            <w:shd w:val="clear" w:color="auto" w:fill="auto"/>
            <w:vAlign w:val="center"/>
            <w:hideMark/>
          </w:tcPr>
          <w:p w14:paraId="7E8F79E7"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8" w:space="0" w:color="auto"/>
              <w:right w:val="single" w:sz="8" w:space="0" w:color="auto"/>
            </w:tcBorders>
          </w:tcPr>
          <w:p w14:paraId="61448807"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62.5%</w:t>
            </w:r>
          </w:p>
        </w:tc>
      </w:tr>
      <w:tr w:rsidR="00452765" w:rsidRPr="008005F4" w14:paraId="19101D23" w14:textId="77777777" w:rsidTr="00306E3F">
        <w:trPr>
          <w:trHeight w:val="900"/>
        </w:trPr>
        <w:tc>
          <w:tcPr>
            <w:tcW w:w="834"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14:paraId="73B89B43" w14:textId="77777777" w:rsidR="00452765" w:rsidRPr="008005F4" w:rsidRDefault="00452765" w:rsidP="00627EE3">
            <w:pPr>
              <w:spacing w:after="0" w:line="360" w:lineRule="auto"/>
              <w:jc w:val="center"/>
              <w:rPr>
                <w:rFonts w:ascii="Times New Roman" w:eastAsia="Times New Roman" w:hAnsi="Times New Roman" w:cs="Times New Roman"/>
                <w:b/>
                <w:bCs/>
                <w:lang w:val="en-US" w:eastAsia="es-ES"/>
              </w:rPr>
            </w:pPr>
            <w:r w:rsidRPr="008005F4">
              <w:rPr>
                <w:rFonts w:ascii="Times New Roman" w:eastAsia="Times New Roman" w:hAnsi="Times New Roman" w:cs="Times New Roman"/>
                <w:b/>
                <w:bCs/>
                <w:lang w:val="en-US" w:eastAsia="es-ES"/>
              </w:rPr>
              <w:t>8.</w:t>
            </w:r>
            <w:r w:rsidRPr="008005F4">
              <w:rPr>
                <w:rFonts w:ascii="Times New Roman" w:hAnsi="Times New Roman" w:cs="Times New Roman"/>
                <w:lang w:val="en-US"/>
              </w:rPr>
              <w:t xml:space="preserve"> </w:t>
            </w:r>
            <w:r w:rsidRPr="008005F4">
              <w:rPr>
                <w:rFonts w:ascii="Times New Roman" w:eastAsia="Times New Roman" w:hAnsi="Times New Roman" w:cs="Times New Roman"/>
                <w:b/>
                <w:bCs/>
                <w:lang w:val="en-US" w:eastAsia="es-ES"/>
              </w:rPr>
              <w:t>Patient Satisfaction</w:t>
            </w:r>
          </w:p>
        </w:tc>
        <w:tc>
          <w:tcPr>
            <w:tcW w:w="568" w:type="dxa"/>
            <w:tcBorders>
              <w:top w:val="nil"/>
              <w:left w:val="nil"/>
              <w:bottom w:val="single" w:sz="4" w:space="0" w:color="auto"/>
              <w:right w:val="single" w:sz="4" w:space="0" w:color="auto"/>
            </w:tcBorders>
            <w:shd w:val="clear" w:color="auto" w:fill="auto"/>
            <w:noWrap/>
            <w:vAlign w:val="center"/>
            <w:hideMark/>
          </w:tcPr>
          <w:p w14:paraId="0C295F17"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8.1</w:t>
            </w:r>
          </w:p>
        </w:tc>
        <w:tc>
          <w:tcPr>
            <w:tcW w:w="1701" w:type="dxa"/>
            <w:tcBorders>
              <w:top w:val="nil"/>
              <w:left w:val="nil"/>
              <w:bottom w:val="single" w:sz="4" w:space="0" w:color="auto"/>
              <w:right w:val="single" w:sz="4" w:space="0" w:color="auto"/>
            </w:tcBorders>
            <w:shd w:val="clear" w:color="auto" w:fill="auto"/>
            <w:noWrap/>
            <w:vAlign w:val="center"/>
            <w:hideMark/>
          </w:tcPr>
          <w:p w14:paraId="2A31B1AD"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Essential</w:t>
            </w:r>
          </w:p>
        </w:tc>
        <w:tc>
          <w:tcPr>
            <w:tcW w:w="8143" w:type="dxa"/>
            <w:tcBorders>
              <w:top w:val="nil"/>
              <w:left w:val="nil"/>
              <w:bottom w:val="single" w:sz="4" w:space="0" w:color="auto"/>
              <w:right w:val="single" w:sz="4" w:space="0" w:color="auto"/>
            </w:tcBorders>
            <w:shd w:val="clear" w:color="auto" w:fill="auto"/>
            <w:vAlign w:val="center"/>
            <w:hideMark/>
          </w:tcPr>
          <w:p w14:paraId="4F79F5CA"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Patient and family satisfaction with the analgesia received for the treatment of pain should be assessed, as should the degree of compliance with the analgesic objectives agreed with the patient at the beginning of treatment, as well as the degree of satisfaction with the care received (personal treatment).</w:t>
            </w:r>
          </w:p>
        </w:tc>
        <w:tc>
          <w:tcPr>
            <w:tcW w:w="2672" w:type="dxa"/>
            <w:tcBorders>
              <w:top w:val="nil"/>
              <w:left w:val="nil"/>
              <w:bottom w:val="single" w:sz="4" w:space="0" w:color="auto"/>
              <w:right w:val="single" w:sz="8" w:space="0" w:color="auto"/>
            </w:tcBorders>
            <w:shd w:val="clear" w:color="auto" w:fill="auto"/>
            <w:vAlign w:val="center"/>
            <w:hideMark/>
          </w:tcPr>
          <w:p w14:paraId="14D72C37" w14:textId="77777777" w:rsidR="00452765" w:rsidRPr="00B830A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Service data.</w:t>
            </w:r>
          </w:p>
        </w:tc>
        <w:tc>
          <w:tcPr>
            <w:tcW w:w="1290" w:type="dxa"/>
            <w:tcBorders>
              <w:top w:val="nil"/>
              <w:left w:val="nil"/>
              <w:bottom w:val="single" w:sz="4" w:space="0" w:color="auto"/>
              <w:right w:val="single" w:sz="8" w:space="0" w:color="auto"/>
            </w:tcBorders>
          </w:tcPr>
          <w:p w14:paraId="1DC7E7B0"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87.5%</w:t>
            </w:r>
          </w:p>
        </w:tc>
      </w:tr>
      <w:tr w:rsidR="00452765" w:rsidRPr="008005F4" w14:paraId="3DDDB493" w14:textId="77777777" w:rsidTr="00306E3F">
        <w:trPr>
          <w:trHeight w:val="3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1A3A8529"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noWrap/>
            <w:vAlign w:val="center"/>
            <w:hideMark/>
          </w:tcPr>
          <w:p w14:paraId="52132746"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8.2</w:t>
            </w:r>
          </w:p>
        </w:tc>
        <w:tc>
          <w:tcPr>
            <w:tcW w:w="1701" w:type="dxa"/>
            <w:tcBorders>
              <w:top w:val="nil"/>
              <w:left w:val="nil"/>
              <w:bottom w:val="single" w:sz="4" w:space="0" w:color="auto"/>
              <w:right w:val="single" w:sz="4" w:space="0" w:color="auto"/>
            </w:tcBorders>
            <w:shd w:val="clear" w:color="auto" w:fill="auto"/>
            <w:noWrap/>
            <w:vAlign w:val="center"/>
            <w:hideMark/>
          </w:tcPr>
          <w:p w14:paraId="43D676CE"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noWrap/>
            <w:vAlign w:val="center"/>
            <w:hideMark/>
          </w:tcPr>
          <w:p w14:paraId="15989687"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The degree of dependency or autonomy available to the patient must be assessed.</w:t>
            </w:r>
          </w:p>
        </w:tc>
        <w:tc>
          <w:tcPr>
            <w:tcW w:w="2672" w:type="dxa"/>
            <w:tcBorders>
              <w:top w:val="nil"/>
              <w:left w:val="nil"/>
              <w:bottom w:val="single" w:sz="4" w:space="0" w:color="auto"/>
              <w:right w:val="single" w:sz="8" w:space="0" w:color="auto"/>
            </w:tcBorders>
            <w:shd w:val="clear" w:color="auto" w:fill="auto"/>
            <w:vAlign w:val="center"/>
            <w:hideMark/>
          </w:tcPr>
          <w:p w14:paraId="19D37CC8"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 xml:space="preserve">Medical record. </w:t>
            </w:r>
          </w:p>
        </w:tc>
        <w:tc>
          <w:tcPr>
            <w:tcW w:w="1290" w:type="dxa"/>
            <w:tcBorders>
              <w:top w:val="nil"/>
              <w:left w:val="nil"/>
              <w:bottom w:val="single" w:sz="4" w:space="0" w:color="auto"/>
              <w:right w:val="single" w:sz="8" w:space="0" w:color="auto"/>
            </w:tcBorders>
          </w:tcPr>
          <w:p w14:paraId="6166BFEC"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100%</w:t>
            </w:r>
          </w:p>
        </w:tc>
      </w:tr>
      <w:tr w:rsidR="00452765" w:rsidRPr="008005F4" w14:paraId="3F1D7090" w14:textId="77777777" w:rsidTr="00306E3F">
        <w:trPr>
          <w:trHeight w:val="300"/>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7D653E32"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4" w:space="0" w:color="auto"/>
              <w:right w:val="single" w:sz="4" w:space="0" w:color="auto"/>
            </w:tcBorders>
            <w:shd w:val="clear" w:color="auto" w:fill="auto"/>
            <w:vAlign w:val="center"/>
            <w:hideMark/>
          </w:tcPr>
          <w:p w14:paraId="300FF95A"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8.3</w:t>
            </w:r>
          </w:p>
        </w:tc>
        <w:tc>
          <w:tcPr>
            <w:tcW w:w="1701" w:type="dxa"/>
            <w:tcBorders>
              <w:top w:val="nil"/>
              <w:left w:val="nil"/>
              <w:bottom w:val="single" w:sz="4" w:space="0" w:color="auto"/>
              <w:right w:val="single" w:sz="4" w:space="0" w:color="auto"/>
            </w:tcBorders>
            <w:shd w:val="clear" w:color="auto" w:fill="auto"/>
            <w:noWrap/>
            <w:vAlign w:val="center"/>
            <w:hideMark/>
          </w:tcPr>
          <w:p w14:paraId="6FDDCED4"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4" w:space="0" w:color="auto"/>
              <w:right w:val="single" w:sz="4" w:space="0" w:color="auto"/>
            </w:tcBorders>
            <w:shd w:val="clear" w:color="auto" w:fill="auto"/>
            <w:vAlign w:val="center"/>
            <w:hideMark/>
          </w:tcPr>
          <w:p w14:paraId="2B5492C1"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Caregiver satisfaction with the multimodal intervention received should be assessed.</w:t>
            </w:r>
          </w:p>
        </w:tc>
        <w:tc>
          <w:tcPr>
            <w:tcW w:w="2672" w:type="dxa"/>
            <w:tcBorders>
              <w:top w:val="nil"/>
              <w:left w:val="nil"/>
              <w:bottom w:val="single" w:sz="4" w:space="0" w:color="auto"/>
              <w:right w:val="single" w:sz="8" w:space="0" w:color="auto"/>
            </w:tcBorders>
            <w:shd w:val="clear" w:color="auto" w:fill="auto"/>
            <w:vAlign w:val="center"/>
            <w:hideMark/>
          </w:tcPr>
          <w:p w14:paraId="668EB3C7"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Service data.</w:t>
            </w:r>
          </w:p>
        </w:tc>
        <w:tc>
          <w:tcPr>
            <w:tcW w:w="1290" w:type="dxa"/>
            <w:tcBorders>
              <w:top w:val="nil"/>
              <w:left w:val="nil"/>
              <w:bottom w:val="single" w:sz="4" w:space="0" w:color="auto"/>
              <w:right w:val="single" w:sz="8" w:space="0" w:color="auto"/>
            </w:tcBorders>
          </w:tcPr>
          <w:p w14:paraId="0B93C5F1"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75%</w:t>
            </w:r>
          </w:p>
        </w:tc>
      </w:tr>
      <w:tr w:rsidR="00452765" w:rsidRPr="00997398" w14:paraId="2398CC36" w14:textId="77777777" w:rsidTr="00306E3F">
        <w:trPr>
          <w:trHeight w:val="615"/>
        </w:trPr>
        <w:tc>
          <w:tcPr>
            <w:tcW w:w="834" w:type="dxa"/>
            <w:vMerge/>
            <w:tcBorders>
              <w:top w:val="nil"/>
              <w:left w:val="single" w:sz="8" w:space="0" w:color="auto"/>
              <w:bottom w:val="single" w:sz="8" w:space="0" w:color="000000"/>
              <w:right w:val="single" w:sz="4" w:space="0" w:color="auto"/>
            </w:tcBorders>
            <w:shd w:val="clear" w:color="auto" w:fill="auto"/>
            <w:vAlign w:val="center"/>
            <w:hideMark/>
          </w:tcPr>
          <w:p w14:paraId="67741F20" w14:textId="77777777" w:rsidR="00452765" w:rsidRPr="008005F4" w:rsidRDefault="00452765" w:rsidP="00627EE3">
            <w:pPr>
              <w:spacing w:after="0" w:line="360" w:lineRule="auto"/>
              <w:rPr>
                <w:rFonts w:ascii="Times New Roman" w:eastAsia="Times New Roman" w:hAnsi="Times New Roman" w:cs="Times New Roman"/>
                <w:b/>
                <w:bCs/>
                <w:lang w:val="en-US" w:eastAsia="es-ES"/>
              </w:rPr>
            </w:pPr>
          </w:p>
        </w:tc>
        <w:tc>
          <w:tcPr>
            <w:tcW w:w="568" w:type="dxa"/>
            <w:tcBorders>
              <w:top w:val="nil"/>
              <w:left w:val="nil"/>
              <w:bottom w:val="single" w:sz="8" w:space="0" w:color="auto"/>
              <w:right w:val="single" w:sz="4" w:space="0" w:color="auto"/>
            </w:tcBorders>
            <w:shd w:val="clear" w:color="auto" w:fill="auto"/>
            <w:vAlign w:val="center"/>
            <w:hideMark/>
          </w:tcPr>
          <w:p w14:paraId="6CDAEE28"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8.4</w:t>
            </w:r>
          </w:p>
        </w:tc>
        <w:tc>
          <w:tcPr>
            <w:tcW w:w="1701" w:type="dxa"/>
            <w:tcBorders>
              <w:top w:val="nil"/>
              <w:left w:val="nil"/>
              <w:bottom w:val="single" w:sz="8" w:space="0" w:color="auto"/>
              <w:right w:val="single" w:sz="4" w:space="0" w:color="auto"/>
            </w:tcBorders>
            <w:shd w:val="clear" w:color="auto" w:fill="auto"/>
            <w:noWrap/>
            <w:vAlign w:val="center"/>
            <w:hideMark/>
          </w:tcPr>
          <w:p w14:paraId="25EF6513" w14:textId="77777777" w:rsidR="00452765" w:rsidRPr="008005F4" w:rsidRDefault="00452765" w:rsidP="00627EE3">
            <w:pPr>
              <w:spacing w:after="0" w:line="360" w:lineRule="auto"/>
              <w:jc w:val="center"/>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Recommended</w:t>
            </w:r>
          </w:p>
        </w:tc>
        <w:tc>
          <w:tcPr>
            <w:tcW w:w="8143" w:type="dxa"/>
            <w:tcBorders>
              <w:top w:val="nil"/>
              <w:left w:val="nil"/>
              <w:bottom w:val="single" w:sz="8" w:space="0" w:color="auto"/>
              <w:right w:val="single" w:sz="4" w:space="0" w:color="auto"/>
            </w:tcBorders>
            <w:shd w:val="clear" w:color="auto" w:fill="auto"/>
            <w:vAlign w:val="center"/>
            <w:hideMark/>
          </w:tcPr>
          <w:p w14:paraId="6C055D25" w14:textId="77777777" w:rsidR="00452765" w:rsidRPr="008005F4"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There must be a procedure for assessing the patient's experience and using this information to improve the care process.</w:t>
            </w:r>
          </w:p>
        </w:tc>
        <w:tc>
          <w:tcPr>
            <w:tcW w:w="2672" w:type="dxa"/>
            <w:tcBorders>
              <w:top w:val="nil"/>
              <w:left w:val="nil"/>
              <w:bottom w:val="single" w:sz="8" w:space="0" w:color="auto"/>
              <w:right w:val="single" w:sz="8" w:space="0" w:color="auto"/>
            </w:tcBorders>
            <w:shd w:val="clear" w:color="auto" w:fill="auto"/>
            <w:vAlign w:val="center"/>
          </w:tcPr>
          <w:p w14:paraId="24D34D14" w14:textId="77777777" w:rsidR="00452765" w:rsidRPr="00997398" w:rsidRDefault="00452765" w:rsidP="00627EE3">
            <w:pPr>
              <w:spacing w:after="0" w:line="360" w:lineRule="auto"/>
              <w:rPr>
                <w:rFonts w:ascii="Times New Roman" w:eastAsia="Times New Roman" w:hAnsi="Times New Roman" w:cs="Times New Roman"/>
                <w:lang w:val="en-US" w:eastAsia="es-ES"/>
              </w:rPr>
            </w:pPr>
            <w:r w:rsidRPr="008005F4">
              <w:rPr>
                <w:rFonts w:ascii="Times New Roman" w:eastAsia="Times New Roman" w:hAnsi="Times New Roman" w:cs="Times New Roman"/>
                <w:lang w:val="en-US" w:eastAsia="es-ES"/>
              </w:rPr>
              <w:t>Service data.</w:t>
            </w:r>
          </w:p>
        </w:tc>
        <w:tc>
          <w:tcPr>
            <w:tcW w:w="1290" w:type="dxa"/>
            <w:tcBorders>
              <w:top w:val="nil"/>
              <w:left w:val="nil"/>
              <w:bottom w:val="single" w:sz="8" w:space="0" w:color="auto"/>
              <w:right w:val="single" w:sz="8" w:space="0" w:color="auto"/>
            </w:tcBorders>
          </w:tcPr>
          <w:p w14:paraId="5940BCD3" w14:textId="77777777" w:rsidR="00452765" w:rsidRPr="008005F4" w:rsidRDefault="00452765" w:rsidP="00627EE3">
            <w:pPr>
              <w:spacing w:after="0" w:line="360" w:lineRule="auto"/>
              <w:rPr>
                <w:rFonts w:ascii="Times New Roman" w:eastAsia="Times New Roman" w:hAnsi="Times New Roman" w:cs="Times New Roman"/>
                <w:lang w:val="en-US" w:eastAsia="es-ES"/>
              </w:rPr>
            </w:pPr>
            <w:r>
              <w:rPr>
                <w:rFonts w:ascii="Times New Roman" w:eastAsia="Times New Roman" w:hAnsi="Times New Roman" w:cs="Times New Roman"/>
                <w:lang w:val="en-US" w:eastAsia="es-ES"/>
              </w:rPr>
              <w:t>50%</w:t>
            </w:r>
          </w:p>
        </w:tc>
      </w:tr>
    </w:tbl>
    <w:p w14:paraId="08BA8375" w14:textId="77777777" w:rsidR="00452765" w:rsidRDefault="00452765" w:rsidP="00306E3F">
      <w:bookmarkStart w:id="2" w:name="_GoBack"/>
      <w:bookmarkEnd w:id="0"/>
      <w:bookmarkEnd w:id="2"/>
    </w:p>
    <w:sectPr w:rsidR="00452765" w:rsidSect="00452765">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1tzC2NDUwNjWysDBT0lEKTi0uzszPAykwrAUARlftbiwAAAA="/>
  </w:docVars>
  <w:rsids>
    <w:rsidRoot w:val="00452765"/>
    <w:rsid w:val="000D2BD5"/>
    <w:rsid w:val="00306E3F"/>
    <w:rsid w:val="00452765"/>
    <w:rsid w:val="00691478"/>
    <w:rsid w:val="00CF10D1"/>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59BD5"/>
  <w15:chartTrackingRefBased/>
  <w15:docId w15:val="{5658E677-CE43-4834-B3C6-4212E642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27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527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27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1389</Words>
  <Characters>8196</Characters>
  <Application>Microsoft Office Word</Application>
  <DocSecurity>0</DocSecurity>
  <Lines>345</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Delgado, Jimmy</dc:creator>
  <cp:keywords/>
  <dc:description/>
  <cp:lastModifiedBy>MDPI</cp:lastModifiedBy>
  <cp:revision>2</cp:revision>
  <dcterms:created xsi:type="dcterms:W3CDTF">2021-02-05T06:47:00Z</dcterms:created>
  <dcterms:modified xsi:type="dcterms:W3CDTF">2021-02-05T06:47:00Z</dcterms:modified>
</cp:coreProperties>
</file>